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04FCE" w14:textId="77777777" w:rsidR="001D3A0E" w:rsidRDefault="00265528" w:rsidP="00920613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14:paraId="05126204" w14:textId="77777777" w:rsidR="001D3A0E" w:rsidRPr="00920613" w:rsidRDefault="00265528">
      <w:pPr>
        <w:ind w:firstLine="0"/>
        <w:jc w:val="center"/>
        <w:rPr>
          <w:rFonts w:cs="Tahoma"/>
          <w:bCs/>
          <w:sz w:val="16"/>
          <w:szCs w:val="16"/>
        </w:rPr>
      </w:pPr>
      <w:r w:rsidRPr="00920613">
        <w:rPr>
          <w:rFonts w:cs="Tahoma"/>
          <w:bCs/>
          <w:sz w:val="16"/>
          <w:szCs w:val="16"/>
        </w:rPr>
        <w:t>Quem são os agentes públicos responsáveis pelo acompanhamento da execução do(s) objeto(s) e o(s) responsáveis pela(s) decisões no(s) contrato(s) administrativos</w:t>
      </w:r>
    </w:p>
    <w:p w14:paraId="13D3ED1C" w14:textId="77777777" w:rsidR="001D3A0E" w:rsidRDefault="00265528">
      <w:pPr>
        <w:pStyle w:val="Ttulo1"/>
      </w:pPr>
      <w:r>
        <w:t>Gestor(es) do(s) Contrato(s).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1D3A0E" w14:paraId="4F487996" w14:textId="77777777">
        <w:tc>
          <w:tcPr>
            <w:tcW w:w="10314" w:type="dxa"/>
            <w:shd w:val="clear" w:color="auto" w:fill="auto"/>
            <w:vAlign w:val="center"/>
          </w:tcPr>
          <w:p w14:paraId="443C1041" w14:textId="77777777" w:rsidR="001D3A0E" w:rsidRDefault="00265528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2º, Inciso VI c/c Art. 8º, § 1º </w:t>
            </w:r>
          </w:p>
        </w:tc>
      </w:tr>
      <w:tr w:rsidR="001D3A0E" w14:paraId="4629B1EF" w14:textId="77777777">
        <w:trPr>
          <w:trHeight w:val="1090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A6D3F84" w14:textId="77777777"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14:paraId="3C2A847E" w14:textId="77777777"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</w:t>
            </w:r>
            <w:r>
              <w:rPr>
                <w:sz w:val="16"/>
                <w:szCs w:val="16"/>
                <w:u w:val="single"/>
              </w:rPr>
              <w:t>gestão dos contratos</w:t>
            </w:r>
            <w:r>
              <w:rPr>
                <w:sz w:val="16"/>
                <w:szCs w:val="16"/>
              </w:rPr>
              <w:t xml:space="preserve"> será </w:t>
            </w:r>
            <w:r>
              <w:rPr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14:paraId="489C07B3" w14:textId="77777777" w:rsidR="001D3A0E" w:rsidRDefault="00265528">
      <w:pPr>
        <w:pStyle w:val="Ttulo2"/>
      </w:pPr>
      <w:r>
        <w:t>Competências e Atribuições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1D3A0E" w14:paraId="46D507F4" w14:textId="77777777">
        <w:tc>
          <w:tcPr>
            <w:tcW w:w="10314" w:type="dxa"/>
            <w:shd w:val="clear" w:color="auto" w:fill="auto"/>
            <w:vAlign w:val="center"/>
          </w:tcPr>
          <w:p w14:paraId="24E02AC2" w14:textId="77777777" w:rsidR="001D3A0E" w:rsidRDefault="00265528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8º, § 1º </w:t>
            </w:r>
          </w:p>
        </w:tc>
      </w:tr>
      <w:tr w:rsidR="001D3A0E" w14:paraId="5153AE9E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759EED4F" w14:textId="77777777"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23 - Caberá ao gestor do contrato a coordenação e a condução administrativa dos contratos e, nos seus afastamentos e seus impedimentos legais, ao seu substituto, em especial:</w:t>
            </w:r>
          </w:p>
          <w:p w14:paraId="6D02EF73" w14:textId="77777777"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- coordenar as atividades relacionadas à fiscalização técnica, administrativa e setorial;</w:t>
            </w:r>
          </w:p>
          <w:p w14:paraId="24A90371" w14:textId="77777777"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 - acompanhar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14:paraId="02F5D8DA" w14:textId="77777777"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14:paraId="2C8CCBA8" w14:textId="77777777"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 - coordenar os atos preparatórios à instrução processual e ao envio da documentação pertinente ao setor de contratos para a formalização dos procedimentos de que trata o inciso VI do art. 2º;</w:t>
            </w:r>
          </w:p>
          <w:p w14:paraId="306DC92C" w14:textId="77777777"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14:paraId="7ECB5EFE" w14:textId="77777777"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 - elaborar o relatório final de que trata a alínea "d" do inciso VI do § 3º do art. 174 da Lei nº 14.133/2021, com as informações obtidas durante a execução do contrato;</w:t>
            </w:r>
          </w:p>
          <w:p w14:paraId="5B083773" w14:textId="77777777"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14:paraId="6544164F" w14:textId="77777777"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14:paraId="0018C53F" w14:textId="77777777"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IX - coordenar a atualização contínua do relatório de riscos durante a gestão do contrato, com apoio dos fiscais técnico, administrativo e setorial.</w:t>
            </w:r>
          </w:p>
        </w:tc>
      </w:tr>
    </w:tbl>
    <w:p w14:paraId="125ECE1A" w14:textId="77777777" w:rsidR="001D3A0E" w:rsidRDefault="00265528">
      <w:pPr>
        <w:pStyle w:val="Ttulo2"/>
      </w:pPr>
      <w:r>
        <w:t>Designação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2551"/>
        <w:gridCol w:w="2268"/>
      </w:tblGrid>
      <w:tr w:rsidR="001D3A0E" w14:paraId="035E64A2" w14:textId="77777777">
        <w:tc>
          <w:tcPr>
            <w:tcW w:w="10314" w:type="dxa"/>
            <w:gridSpan w:val="3"/>
            <w:shd w:val="clear" w:color="auto" w:fill="auto"/>
            <w:vAlign w:val="center"/>
          </w:tcPr>
          <w:p w14:paraId="5A156F5F" w14:textId="77777777" w:rsidR="001D3A0E" w:rsidRDefault="00265528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§1º</w:t>
            </w:r>
          </w:p>
        </w:tc>
      </w:tr>
      <w:tr w:rsidR="001D3A0E" w14:paraId="037686EF" w14:textId="77777777">
        <w:tc>
          <w:tcPr>
            <w:tcW w:w="5495" w:type="dxa"/>
            <w:shd w:val="clear" w:color="auto" w:fill="auto"/>
            <w:vAlign w:val="center"/>
          </w:tcPr>
          <w:p w14:paraId="57475B83" w14:textId="77777777" w:rsidR="001D3A0E" w:rsidRDefault="00265528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78EA76D" w14:textId="77777777" w:rsidR="001D3A0E" w:rsidRDefault="00265528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6B9DD95" w14:textId="77777777" w:rsidR="001D3A0E" w:rsidRDefault="00265528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1D3A0E" w14:paraId="1C81048B" w14:textId="77777777" w:rsidTr="00920613">
        <w:trPr>
          <w:trHeight w:val="537"/>
        </w:trPr>
        <w:tc>
          <w:tcPr>
            <w:tcW w:w="5495" w:type="dxa"/>
            <w:shd w:val="clear" w:color="auto" w:fill="auto"/>
            <w:vAlign w:val="center"/>
          </w:tcPr>
          <w:p w14:paraId="4B72859B" w14:textId="77777777"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 </w:t>
            </w:r>
            <w:r w:rsidR="00590FE9">
              <w:rPr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 xml:space="preserve"> ) Secretaria Municipal da Obras e Mobilidade Urbana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37C6753" w14:textId="77777777"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Fabiano </w:t>
            </w:r>
            <w:proofErr w:type="spellStart"/>
            <w:r>
              <w:rPr>
                <w:sz w:val="16"/>
                <w:szCs w:val="16"/>
              </w:rPr>
              <w:t>Acadroli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569490BA" w14:textId="77777777" w:rsidR="001D3A0E" w:rsidRDefault="001D3A0E">
            <w:pPr>
              <w:ind w:firstLine="0"/>
              <w:rPr>
                <w:sz w:val="16"/>
                <w:szCs w:val="16"/>
              </w:rPr>
            </w:pPr>
          </w:p>
        </w:tc>
      </w:tr>
      <w:tr w:rsidR="001D3A0E" w14:paraId="6258B1D7" w14:textId="77777777" w:rsidTr="00920613">
        <w:trPr>
          <w:trHeight w:val="401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4BF71E78" w14:textId="2C545E0B" w:rsidR="001D3A0E" w:rsidRDefault="00265528" w:rsidP="00920613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:u w:val="single"/>
              </w:rPr>
              <w:t>Obs.:</w:t>
            </w:r>
            <w:r w:rsidR="00920613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 xml:space="preserve">Na </w:t>
            </w:r>
            <w:r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>
              <w:rPr>
                <w:b/>
                <w:bCs/>
                <w:sz w:val="16"/>
                <w:szCs w:val="16"/>
              </w:rPr>
              <w:t>excepcionalmente,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14:paraId="1EAC82E4" w14:textId="77777777" w:rsidR="001D3A0E" w:rsidRDefault="00265528">
      <w:pPr>
        <w:pStyle w:val="Ttulo1"/>
      </w:pPr>
      <w:r>
        <w:t>Fiscal(is) DE Contrato(s)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1D3A0E" w14:paraId="62C0D480" w14:textId="77777777">
        <w:tc>
          <w:tcPr>
            <w:tcW w:w="10314" w:type="dxa"/>
            <w:shd w:val="clear" w:color="auto" w:fill="auto"/>
            <w:vAlign w:val="center"/>
          </w:tcPr>
          <w:p w14:paraId="5B262E08" w14:textId="77777777" w:rsidR="001D3A0E" w:rsidRDefault="00265528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2º, Inciso VII a IX</w:t>
            </w:r>
          </w:p>
        </w:tc>
      </w:tr>
      <w:tr w:rsidR="001D3A0E" w14:paraId="10558816" w14:textId="77777777">
        <w:trPr>
          <w:trHeight w:val="1515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1AA52C69" w14:textId="77777777"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técnica</w:t>
            </w:r>
            <w:r>
              <w:rPr>
                <w:sz w:val="16"/>
                <w:szCs w:val="16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14:paraId="4DA57FED" w14:textId="77777777"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administrativa</w:t>
            </w:r>
            <w:r>
              <w:rPr>
                <w:sz w:val="16"/>
                <w:szCs w:val="16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14:paraId="61298162" w14:textId="77777777"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setorial</w:t>
            </w:r>
            <w:r>
              <w:rPr>
                <w:sz w:val="16"/>
                <w:szCs w:val="16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14:paraId="3C5274A8" w14:textId="77777777" w:rsidR="001D3A0E" w:rsidRDefault="00265528">
      <w:pPr>
        <w:pStyle w:val="Ttulo2"/>
      </w:pPr>
      <w:r>
        <w:t>Observações quanto a dESIGNAÇÃO DE aGENTES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1D3A0E" w14:paraId="63DC2ED9" w14:textId="77777777">
        <w:tc>
          <w:tcPr>
            <w:tcW w:w="10314" w:type="dxa"/>
            <w:shd w:val="clear" w:color="auto" w:fill="auto"/>
            <w:vAlign w:val="center"/>
          </w:tcPr>
          <w:p w14:paraId="42522181" w14:textId="77777777" w:rsidR="001D3A0E" w:rsidRDefault="00265528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</w:t>
            </w:r>
            <w:proofErr w:type="spellStart"/>
            <w:r>
              <w:rPr>
                <w:b/>
                <w:bCs/>
                <w:szCs w:val="18"/>
              </w:rPr>
              <w:t>Arts</w:t>
            </w:r>
            <w:proofErr w:type="spellEnd"/>
            <w:r>
              <w:rPr>
                <w:b/>
                <w:bCs/>
                <w:szCs w:val="18"/>
              </w:rPr>
              <w:t>. 8º, 9º, 12 a 14</w:t>
            </w:r>
          </w:p>
        </w:tc>
      </w:tr>
      <w:tr w:rsidR="001D3A0E" w14:paraId="00D0209D" w14:textId="77777777">
        <w:trPr>
          <w:trHeight w:val="256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10FE24A2" w14:textId="77777777"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Quando da designação do(s)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)), devem ser observados inteiro teor dos artigos 8º, 9º e do 12 a 14.</w:t>
            </w:r>
          </w:p>
        </w:tc>
      </w:tr>
    </w:tbl>
    <w:p w14:paraId="4B7FDEA2" w14:textId="77777777" w:rsidR="001D3A0E" w:rsidRDefault="00265528">
      <w:pPr>
        <w:pStyle w:val="Ttulo2"/>
      </w:pPr>
      <w:r>
        <w:lastRenderedPageBreak/>
        <w:t>FISCALIZAÇÃO TÉCNICA</w:t>
      </w:r>
    </w:p>
    <w:p w14:paraId="038CBE27" w14:textId="77777777" w:rsidR="001D3A0E" w:rsidRDefault="00265528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1D3A0E" w14:paraId="2778DF87" w14:textId="77777777">
        <w:tc>
          <w:tcPr>
            <w:tcW w:w="10314" w:type="dxa"/>
            <w:shd w:val="clear" w:color="auto" w:fill="auto"/>
            <w:vAlign w:val="center"/>
          </w:tcPr>
          <w:p w14:paraId="4967A02E" w14:textId="77777777" w:rsidR="001D3A0E" w:rsidRDefault="00265528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24 </w:t>
            </w:r>
          </w:p>
        </w:tc>
      </w:tr>
      <w:tr w:rsidR="001D3A0E" w14:paraId="561F547C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6323F736" w14:textId="77777777"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24 - Caberá ao fiscal técnico do contrato e, nos seus afastamentos e impedimentos legais, ao seu substituto, em especial:</w:t>
            </w:r>
          </w:p>
          <w:p w14:paraId="75CFC328" w14:textId="77777777"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- prestar apoio técnico e operacional ao gestor do contrato com informações pertinentes às suas competências;</w:t>
            </w:r>
          </w:p>
          <w:p w14:paraId="3E7ECEFE" w14:textId="77777777"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 - anotar no histórico de gerenciamento do contrato todas as ocorrências relacionadas à execução do contrato, com a descrição do que for necessário para a regularização das faltas ou dos defeitos observados;</w:t>
            </w:r>
          </w:p>
          <w:p w14:paraId="21D7AAAF" w14:textId="77777777"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14:paraId="69BBCF31" w14:textId="77777777"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 - fiscalizar a execução do contrato para que sejam cumpridas as condições estabelecidas, de modo a assegurar os melhores resultados para a administração, com a conferência das notas fiscais e dos demais documentos relativos a execução contratual, às quais certificam o recebimento provisório e/ou definitivo;</w:t>
            </w:r>
          </w:p>
          <w:p w14:paraId="65087FE9" w14:textId="77777777"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- informar ao gestor do contato, em tempo hábil, a situação que demandar decisão ou adoção de medidas que ultrapassem a sua competência, para que ele adote as providências necessárias e saneadoras, se for o caso;</w:t>
            </w:r>
          </w:p>
          <w:p w14:paraId="12200A2E" w14:textId="77777777"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 - comunicar imediatamente ao gestor do contrato quaisquer ocorrências que possam inviabilizar a execução do contrato nas datas estabelecidas;</w:t>
            </w:r>
          </w:p>
          <w:p w14:paraId="723335D7" w14:textId="77777777"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14:paraId="31A55C9D" w14:textId="77777777"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2FDEAEE7" w14:textId="77777777"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IX - auxiliar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0CE8B2C8" w14:textId="77777777"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 - realizar o recebimento provisório e/ou definitivo do objeto do contrato referido no art. 27, mediante termo detalhado que comprove o cumprimento das exigências contratuais.</w:t>
            </w:r>
          </w:p>
        </w:tc>
      </w:tr>
    </w:tbl>
    <w:p w14:paraId="0AF8EADF" w14:textId="77777777" w:rsidR="001D3A0E" w:rsidRDefault="00265528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1D3A0E" w14:paraId="4D8B95CE" w14:textId="77777777">
        <w:tc>
          <w:tcPr>
            <w:tcW w:w="10314" w:type="dxa"/>
            <w:gridSpan w:val="4"/>
            <w:shd w:val="clear" w:color="auto" w:fill="auto"/>
            <w:vAlign w:val="center"/>
          </w:tcPr>
          <w:p w14:paraId="0A572DFA" w14:textId="77777777" w:rsidR="001D3A0E" w:rsidRDefault="00265528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1D3A0E" w14:paraId="0042E042" w14:textId="77777777">
        <w:tc>
          <w:tcPr>
            <w:tcW w:w="3256" w:type="dxa"/>
            <w:shd w:val="clear" w:color="auto" w:fill="auto"/>
            <w:vAlign w:val="center"/>
          </w:tcPr>
          <w:p w14:paraId="7EFECC56" w14:textId="77777777" w:rsidR="001D3A0E" w:rsidRDefault="00265528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FF1EA8B" w14:textId="77777777" w:rsidR="001D3A0E" w:rsidRDefault="00265528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EBF8E2B" w14:textId="77777777" w:rsidR="001D3A0E" w:rsidRDefault="00265528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25BDDFE3" w14:textId="77777777" w:rsidR="001D3A0E" w:rsidRDefault="00265528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1D3A0E" w14:paraId="68F7AB89" w14:textId="77777777" w:rsidTr="00920613">
        <w:trPr>
          <w:trHeight w:val="567"/>
        </w:trPr>
        <w:tc>
          <w:tcPr>
            <w:tcW w:w="3256" w:type="dxa"/>
            <w:shd w:val="clear" w:color="auto" w:fill="auto"/>
            <w:vAlign w:val="center"/>
          </w:tcPr>
          <w:p w14:paraId="20A200D2" w14:textId="690B478C" w:rsidR="001D3A0E" w:rsidRDefault="00252A0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Julia </w:t>
            </w:r>
            <w:proofErr w:type="spellStart"/>
            <w:r>
              <w:rPr>
                <w:sz w:val="16"/>
                <w:szCs w:val="16"/>
              </w:rPr>
              <w:t>Tesser</w:t>
            </w:r>
            <w:proofErr w:type="spellEnd"/>
            <w:r>
              <w:rPr>
                <w:sz w:val="16"/>
                <w:szCs w:val="16"/>
              </w:rPr>
              <w:t xml:space="preserve"> Tomasi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2063EA7" w14:textId="77777777" w:rsidR="001D3A0E" w:rsidRDefault="001D3A0E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49E3DAC" w14:textId="0031FA52" w:rsidR="001D3A0E" w:rsidRDefault="0076026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5B0C163" w14:textId="77777777" w:rsidR="001D3A0E" w:rsidRDefault="001D3A0E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6745D63A" w14:textId="77777777" w:rsidR="001D3A0E" w:rsidRDefault="00265528">
      <w:pPr>
        <w:pStyle w:val="Ttulo2"/>
      </w:pPr>
      <w:r>
        <w:t>Fiscalização Administrativa</w:t>
      </w:r>
    </w:p>
    <w:p w14:paraId="7D38684D" w14:textId="77777777" w:rsidR="001D3A0E" w:rsidRDefault="00265528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1D3A0E" w14:paraId="24F02114" w14:textId="77777777">
        <w:tc>
          <w:tcPr>
            <w:tcW w:w="10314" w:type="dxa"/>
            <w:shd w:val="clear" w:color="auto" w:fill="auto"/>
            <w:vAlign w:val="center"/>
          </w:tcPr>
          <w:p w14:paraId="78064E20" w14:textId="77777777" w:rsidR="001D3A0E" w:rsidRDefault="00265528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25</w:t>
            </w:r>
          </w:p>
        </w:tc>
      </w:tr>
      <w:tr w:rsidR="001D3A0E" w14:paraId="5FD923CF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B31D50F" w14:textId="77777777"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25 - Caberá ao fiscal administrativo do contrato e, nos seus afastamentos e impedimentos legais, ao seu substituto, em especial:</w:t>
            </w:r>
          </w:p>
          <w:p w14:paraId="31C75D4B" w14:textId="77777777"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- prestar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14:paraId="4852CC9B" w14:textId="77777777"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 - verificar a manutenção das condições de habilitação da contratada, com a solicitação dos documentos comprobatórios pertinentes, caso necessário;</w:t>
            </w:r>
          </w:p>
          <w:p w14:paraId="2B801F4A" w14:textId="77777777"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examinar a 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14:paraId="6D3D3093" w14:textId="77777777"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 - atuar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14:paraId="5F7D574F" w14:textId="77777777"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- participar da atualização do relatório de riscos durante a fase de gestão do contrato, em conjunto com o fiscal técnico e com o setorial, conforme o disposto no inciso VI do art. 23;</w:t>
            </w:r>
          </w:p>
          <w:p w14:paraId="668B5EB8" w14:textId="77777777"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 - auxiliar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14:paraId="0BBD9DB3" w14:textId="77777777"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cientificar, em prazo razoável, o gestor de contratos sobre o término do contrato, em caso de nova contratação ou da escolha pela prorrogação, visando a solução de continuidade.</w:t>
            </w:r>
          </w:p>
          <w:p w14:paraId="0457A23D" w14:textId="77777777"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30F7B934" w14:textId="77777777"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IX - auxiliar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2A88DED4" w14:textId="77777777"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 - realizar o recebimento provisório e/ou definitivo do objeto do contrato referido no art. 27, mediante termo detalhado que comprove o cumprimento das exigências contratuais.</w:t>
            </w:r>
          </w:p>
        </w:tc>
      </w:tr>
    </w:tbl>
    <w:p w14:paraId="283FB044" w14:textId="77777777" w:rsidR="001D3A0E" w:rsidRDefault="00265528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1D3A0E" w14:paraId="49418275" w14:textId="77777777">
        <w:tc>
          <w:tcPr>
            <w:tcW w:w="10314" w:type="dxa"/>
            <w:gridSpan w:val="4"/>
            <w:shd w:val="clear" w:color="auto" w:fill="auto"/>
            <w:vAlign w:val="center"/>
          </w:tcPr>
          <w:p w14:paraId="2E59E20B" w14:textId="77777777" w:rsidR="001D3A0E" w:rsidRDefault="00265528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1D3A0E" w14:paraId="73296733" w14:textId="77777777">
        <w:tc>
          <w:tcPr>
            <w:tcW w:w="3256" w:type="dxa"/>
            <w:shd w:val="clear" w:color="auto" w:fill="auto"/>
            <w:vAlign w:val="center"/>
          </w:tcPr>
          <w:p w14:paraId="7136A0C3" w14:textId="77777777" w:rsidR="001D3A0E" w:rsidRDefault="00265528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7C24602" w14:textId="77777777" w:rsidR="001D3A0E" w:rsidRDefault="00265528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304AD97" w14:textId="77777777" w:rsidR="001D3A0E" w:rsidRDefault="00265528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75846526" w14:textId="77777777" w:rsidR="001D3A0E" w:rsidRDefault="00265528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1D3A0E" w14:paraId="0D09E031" w14:textId="77777777" w:rsidTr="00920613">
        <w:trPr>
          <w:trHeight w:val="740"/>
        </w:trPr>
        <w:tc>
          <w:tcPr>
            <w:tcW w:w="3256" w:type="dxa"/>
            <w:shd w:val="clear" w:color="auto" w:fill="auto"/>
            <w:vAlign w:val="center"/>
          </w:tcPr>
          <w:p w14:paraId="16690E3C" w14:textId="77777777" w:rsidR="001D3A0E" w:rsidRDefault="0056785B">
            <w:pPr>
              <w:ind w:firstLine="0"/>
              <w:rPr>
                <w:sz w:val="16"/>
                <w:szCs w:val="16"/>
              </w:rPr>
            </w:pPr>
            <w:r w:rsidRPr="000F30B3">
              <w:rPr>
                <w:sz w:val="16"/>
                <w:szCs w:val="16"/>
              </w:rPr>
              <w:t>Ernani Schneider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753CD44" w14:textId="77777777" w:rsidR="001D3A0E" w:rsidRDefault="001D3A0E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4F68FC1" w14:textId="09763B77" w:rsidR="001D3A0E" w:rsidRDefault="00252A0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Julia </w:t>
            </w:r>
            <w:proofErr w:type="spellStart"/>
            <w:r>
              <w:rPr>
                <w:sz w:val="16"/>
                <w:szCs w:val="16"/>
              </w:rPr>
              <w:t>Tesser</w:t>
            </w:r>
            <w:proofErr w:type="spellEnd"/>
            <w:r>
              <w:rPr>
                <w:sz w:val="16"/>
                <w:szCs w:val="16"/>
              </w:rPr>
              <w:t xml:space="preserve"> Tomasi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41F5C817" w14:textId="77777777" w:rsidR="001D3A0E" w:rsidRDefault="001D3A0E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5B7524DE" w14:textId="77777777" w:rsidR="001D3A0E" w:rsidRDefault="00265528">
      <w:pPr>
        <w:pStyle w:val="Ttulo2"/>
      </w:pPr>
      <w:r>
        <w:lastRenderedPageBreak/>
        <w:t>Fiscalização Setorial</w:t>
      </w:r>
    </w:p>
    <w:p w14:paraId="38142C92" w14:textId="77777777" w:rsidR="001D3A0E" w:rsidRDefault="00265528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1D3A0E" w14:paraId="5D3698DE" w14:textId="77777777">
        <w:tc>
          <w:tcPr>
            <w:tcW w:w="10314" w:type="dxa"/>
            <w:shd w:val="clear" w:color="auto" w:fill="auto"/>
            <w:vAlign w:val="center"/>
          </w:tcPr>
          <w:p w14:paraId="78FEACC2" w14:textId="77777777" w:rsidR="001D3A0E" w:rsidRDefault="00265528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26</w:t>
            </w:r>
          </w:p>
        </w:tc>
      </w:tr>
      <w:tr w:rsidR="001D3A0E" w14:paraId="3C3E2A7E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1293695F" w14:textId="77777777" w:rsidR="001D3A0E" w:rsidRDefault="0026552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Art. 26 - Caberá ao fiscal setorial do contrato, quando estabelecido, e, nos seus afastamentos e impedimentos legais, ao seu substituto, exercer, de forma complementar, as atribuições de que tratam os </w:t>
            </w:r>
            <w:proofErr w:type="spellStart"/>
            <w:r>
              <w:rPr>
                <w:sz w:val="16"/>
                <w:szCs w:val="16"/>
              </w:rPr>
              <w:t>arts</w:t>
            </w:r>
            <w:proofErr w:type="spellEnd"/>
            <w:r>
              <w:rPr>
                <w:sz w:val="16"/>
                <w:szCs w:val="16"/>
              </w:rPr>
              <w:t>. 24 e 25.</w:t>
            </w:r>
          </w:p>
        </w:tc>
      </w:tr>
    </w:tbl>
    <w:p w14:paraId="37F0FA77" w14:textId="77777777" w:rsidR="001D3A0E" w:rsidRDefault="00265528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p w14:paraId="5A236D71" w14:textId="3E10716B" w:rsidR="00920613" w:rsidRPr="00920613" w:rsidRDefault="00920613" w:rsidP="00920613">
      <w:pPr>
        <w:ind w:firstLine="567"/>
        <w:rPr>
          <w:b/>
          <w:bCs/>
          <w:sz w:val="20"/>
          <w:szCs w:val="24"/>
          <w:u w:val="single"/>
        </w:rPr>
      </w:pPr>
      <w:r w:rsidRPr="00920613">
        <w:rPr>
          <w:b/>
          <w:bCs/>
          <w:sz w:val="20"/>
          <w:szCs w:val="24"/>
          <w:u w:val="single"/>
        </w:rPr>
        <w:t xml:space="preserve">Justificativa para a não designação de Fiscal Setorial: </w:t>
      </w:r>
    </w:p>
    <w:p w14:paraId="6C2323CE" w14:textId="77777777" w:rsidR="00920613" w:rsidRDefault="00920613">
      <w:pPr>
        <w:rPr>
          <w:b/>
          <w:bCs/>
          <w:u w:val="single"/>
        </w:rPr>
      </w:pPr>
    </w:p>
    <w:p w14:paraId="6DDA052D" w14:textId="37C21046" w:rsidR="00920613" w:rsidRDefault="00920613" w:rsidP="00920613">
      <w:pPr>
        <w:ind w:firstLine="567"/>
      </w:pPr>
      <w:r>
        <w:t>A não designação de fiscal setorial para a obra e serviço de engenharia em questão justifica-se pela presença de um fiscal administrativo e de um fiscal técnico, funções essas que são adequadas e suficientes para o acompanhamento e fiscalização da execução da obra, de acordo com as responsabilidades e atribuições previstas para cada cargo.</w:t>
      </w:r>
    </w:p>
    <w:p w14:paraId="7F74AD5F" w14:textId="77777777" w:rsidR="00920613" w:rsidRPr="00920613" w:rsidRDefault="00920613" w:rsidP="00920613">
      <w:pPr>
        <w:ind w:firstLine="0"/>
        <w:rPr>
          <w:b/>
          <w:bCs/>
          <w:u w:val="single"/>
        </w:rPr>
      </w:pPr>
    </w:p>
    <w:p w14:paraId="728CA095" w14:textId="77777777" w:rsidR="00920613" w:rsidRDefault="00920613" w:rsidP="00920613">
      <w:pPr>
        <w:ind w:firstLine="567"/>
      </w:pPr>
      <w:r>
        <w:t>A designação de um fiscal setorial, portanto, seria redundante, visto que as funções atribuídas a este cargo se sobrepõem às atividades já desempenhadas pelos fiscais administrativos e técnicos, sem agregar valor significativo ao processo de fiscalização.</w:t>
      </w:r>
    </w:p>
    <w:p w14:paraId="17F97B74" w14:textId="77777777" w:rsidR="00920613" w:rsidRDefault="00920613" w:rsidP="00920613">
      <w:pPr>
        <w:ind w:firstLine="0"/>
      </w:pPr>
    </w:p>
    <w:p w14:paraId="35133CCE" w14:textId="5901C66A" w:rsidR="00920613" w:rsidRDefault="00920613" w:rsidP="00920613">
      <w:r>
        <w:t>Além disso, a designação de fiscais em duplicidade pode acarretar custos desnecessários e aumentar a burocracia, sem melhorar efetivamente o acompanhamento da obra. Por estas razões, conclui-se que a presença do fiscal administrativo e do fiscal técnico é suficiente para garantir a correta fiscalização da obra e a execução do contrato.</w:t>
      </w:r>
    </w:p>
    <w:p w14:paraId="2CBCD964" w14:textId="77777777" w:rsidR="001D3A0E" w:rsidRDefault="001D3A0E"/>
    <w:p w14:paraId="63ECAC84" w14:textId="77777777" w:rsidR="00590FE9" w:rsidRPr="00590FE9" w:rsidRDefault="00590FE9" w:rsidP="00590FE9">
      <w:pPr>
        <w:jc w:val="right"/>
        <w:rPr>
          <w:rFonts w:ascii="Arial" w:hAnsi="Arial" w:cs="Arial"/>
          <w:sz w:val="20"/>
          <w:szCs w:val="20"/>
        </w:rPr>
      </w:pPr>
      <w:r w:rsidRPr="00920613">
        <w:rPr>
          <w:rFonts w:cs="Tahoma"/>
          <w:sz w:val="20"/>
          <w:szCs w:val="20"/>
        </w:rPr>
        <w:t xml:space="preserve">Imigrante, </w:t>
      </w:r>
      <w:r w:rsidR="00CE75AA" w:rsidRPr="00920613">
        <w:rPr>
          <w:rFonts w:cs="Tahoma"/>
          <w:sz w:val="20"/>
          <w:szCs w:val="20"/>
        </w:rPr>
        <w:t>03</w:t>
      </w:r>
      <w:r w:rsidRPr="00920613">
        <w:rPr>
          <w:rFonts w:cs="Tahoma"/>
          <w:sz w:val="20"/>
          <w:szCs w:val="20"/>
        </w:rPr>
        <w:t xml:space="preserve"> de </w:t>
      </w:r>
      <w:r w:rsidR="00CE75AA" w:rsidRPr="00920613">
        <w:rPr>
          <w:rFonts w:cs="Tahoma"/>
          <w:sz w:val="20"/>
          <w:szCs w:val="20"/>
        </w:rPr>
        <w:t>fevereiro</w:t>
      </w:r>
      <w:r w:rsidRPr="00920613">
        <w:rPr>
          <w:rFonts w:cs="Tahoma"/>
          <w:sz w:val="20"/>
          <w:szCs w:val="20"/>
        </w:rPr>
        <w:t xml:space="preserve"> de 2025</w:t>
      </w:r>
      <w:r w:rsidRPr="00590FE9">
        <w:rPr>
          <w:rFonts w:ascii="Arial" w:hAnsi="Arial" w:cs="Arial"/>
          <w:sz w:val="20"/>
          <w:szCs w:val="20"/>
        </w:rPr>
        <w:t>.</w:t>
      </w:r>
    </w:p>
    <w:p w14:paraId="09A31FF8" w14:textId="77777777" w:rsidR="001D3A0E" w:rsidRDefault="001D3A0E">
      <w:pPr>
        <w:jc w:val="right"/>
      </w:pPr>
    </w:p>
    <w:p w14:paraId="520E22AB" w14:textId="77777777" w:rsidR="001D3A0E" w:rsidRDefault="001D3A0E">
      <w:pPr>
        <w:jc w:val="right"/>
      </w:pPr>
    </w:p>
    <w:p w14:paraId="0354CF18" w14:textId="77777777" w:rsidR="001D3A0E" w:rsidRDefault="001D3A0E">
      <w:pPr>
        <w:jc w:val="right"/>
      </w:pPr>
    </w:p>
    <w:p w14:paraId="67997E71" w14:textId="77777777" w:rsidR="001D3A0E" w:rsidRDefault="001D3A0E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1D3A0E" w14:paraId="11CF493B" w14:textId="77777777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0694B423" w14:textId="77777777" w:rsidR="001D3A0E" w:rsidRDefault="001D3A0E">
            <w:pPr>
              <w:tabs>
                <w:tab w:val="left" w:pos="1935"/>
              </w:tabs>
              <w:ind w:left="-142" w:firstLine="0"/>
            </w:pPr>
          </w:p>
        </w:tc>
      </w:tr>
      <w:tr w:rsidR="00590FE9" w14:paraId="223AD744" w14:textId="77777777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391DD8" w14:textId="77777777" w:rsidR="00590FE9" w:rsidRPr="000D155F" w:rsidRDefault="00590FE9" w:rsidP="00590FE9">
            <w:pPr>
              <w:tabs>
                <w:tab w:val="left" w:pos="1935"/>
              </w:tabs>
              <w:ind w:firstLine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0D155F">
              <w:rPr>
                <w:rFonts w:cs="Tahoma"/>
                <w:b/>
                <w:bCs/>
                <w:sz w:val="20"/>
                <w:szCs w:val="20"/>
              </w:rPr>
              <w:t>FABIANO ACADROLI</w:t>
            </w:r>
          </w:p>
        </w:tc>
      </w:tr>
      <w:tr w:rsidR="00590FE9" w14:paraId="36CD858E" w14:textId="77777777">
        <w:tc>
          <w:tcPr>
            <w:tcW w:w="6204" w:type="dxa"/>
            <w:shd w:val="clear" w:color="auto" w:fill="auto"/>
            <w:vAlign w:val="center"/>
          </w:tcPr>
          <w:p w14:paraId="4660FF7A" w14:textId="77777777" w:rsidR="00590FE9" w:rsidRPr="000D155F" w:rsidRDefault="00590FE9" w:rsidP="00590FE9">
            <w:pPr>
              <w:tabs>
                <w:tab w:val="left" w:pos="1935"/>
              </w:tabs>
              <w:spacing w:line="256" w:lineRule="auto"/>
              <w:ind w:firstLine="0"/>
              <w:jc w:val="center"/>
              <w:rPr>
                <w:rFonts w:cs="Tahoma"/>
                <w:sz w:val="20"/>
                <w:szCs w:val="20"/>
              </w:rPr>
            </w:pPr>
            <w:r w:rsidRPr="000D155F">
              <w:rPr>
                <w:rFonts w:cs="Tahoma"/>
                <w:sz w:val="20"/>
                <w:szCs w:val="20"/>
              </w:rPr>
              <w:t>Secretaria Municipal de Obras e Mobilidade Urbana</w:t>
            </w:r>
          </w:p>
          <w:p w14:paraId="1235D8DE" w14:textId="77777777" w:rsidR="00590FE9" w:rsidRPr="000D155F" w:rsidRDefault="00590FE9" w:rsidP="00590FE9">
            <w:pPr>
              <w:tabs>
                <w:tab w:val="left" w:pos="1935"/>
              </w:tabs>
              <w:ind w:firstLine="0"/>
              <w:jc w:val="center"/>
              <w:rPr>
                <w:rFonts w:cs="Tahoma"/>
                <w:sz w:val="20"/>
                <w:szCs w:val="20"/>
              </w:rPr>
            </w:pPr>
          </w:p>
        </w:tc>
      </w:tr>
    </w:tbl>
    <w:p w14:paraId="05896850" w14:textId="77777777" w:rsidR="001D3A0E" w:rsidRDefault="001D3A0E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1D3A0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BEE23" w14:textId="77777777" w:rsidR="00461EA0" w:rsidRDefault="00461EA0">
      <w:r>
        <w:separator/>
      </w:r>
    </w:p>
  </w:endnote>
  <w:endnote w:type="continuationSeparator" w:id="0">
    <w:p w14:paraId="2B36FE0F" w14:textId="77777777" w:rsidR="00461EA0" w:rsidRDefault="00461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923525474"/>
      <w:docPartObj>
        <w:docPartGallery w:val="AutoText"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AutoText"/>
          </w:docPartObj>
        </w:sdtPr>
        <w:sdtEndPr/>
        <w:sdtContent>
          <w:p w14:paraId="2CDD7F6C" w14:textId="77777777" w:rsidR="001D3A0E" w:rsidRDefault="00265528">
            <w:pPr>
              <w:pStyle w:val="Rodap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Página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PAGE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  <w:r>
              <w:rPr>
                <w:sz w:val="14"/>
                <w:szCs w:val="14"/>
              </w:rPr>
              <w:t xml:space="preserve"> de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NUMPAGES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486E2C00" w14:textId="77777777" w:rsidR="001D3A0E" w:rsidRDefault="001D3A0E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-1535726081"/>
      <w:docPartObj>
        <w:docPartGallery w:val="AutoText"/>
      </w:docPartObj>
    </w:sdtPr>
    <w:sdtEndPr/>
    <w:sdtContent>
      <w:p w14:paraId="3EBE0EB3" w14:textId="77777777" w:rsidR="001D3A0E" w:rsidRDefault="00265528">
        <w:pPr>
          <w:pStyle w:val="Rodap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PAGE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NUMPAGES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14:paraId="1C46B9A7" w14:textId="77777777" w:rsidR="001D3A0E" w:rsidRDefault="001D3A0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903DE" w14:textId="77777777" w:rsidR="00461EA0" w:rsidRDefault="00461EA0">
      <w:pPr>
        <w:spacing w:after="0"/>
      </w:pPr>
      <w:r>
        <w:separator/>
      </w:r>
    </w:p>
  </w:footnote>
  <w:footnote w:type="continuationSeparator" w:id="0">
    <w:p w14:paraId="4903E1AF" w14:textId="77777777" w:rsidR="00461EA0" w:rsidRDefault="00461EA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063B4" w14:textId="77777777" w:rsidR="001D3A0E" w:rsidRDefault="001D3A0E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1D3A0E" w14:paraId="0C571C8C" w14:textId="77777777">
      <w:trPr>
        <w:trHeight w:val="930"/>
      </w:trPr>
      <w:tc>
        <w:tcPr>
          <w:tcW w:w="1838" w:type="dxa"/>
          <w:vAlign w:val="center"/>
        </w:tcPr>
        <w:p w14:paraId="264DB57A" w14:textId="77777777" w:rsidR="001D3A0E" w:rsidRDefault="00265528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4FEB5C01" wp14:editId="1335647D">
                <wp:extent cx="571500" cy="584200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m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0E37CEEF" w14:textId="77777777" w:rsidR="001D3A0E" w:rsidRDefault="00265528">
          <w:pPr>
            <w:pStyle w:val="Cabealho"/>
            <w:ind w:firstLine="0"/>
          </w:pPr>
          <w:r>
            <w:t>ESTADO DO RIO GRANDE DO SUL</w:t>
          </w:r>
        </w:p>
        <w:p w14:paraId="0E0A507D" w14:textId="77777777" w:rsidR="001D3A0E" w:rsidRDefault="00265528">
          <w:pPr>
            <w:pStyle w:val="Cabealho"/>
            <w:ind w:firstLine="0"/>
            <w:rPr>
              <w:b/>
              <w:bCs/>
            </w:rPr>
          </w:pPr>
          <w:r>
            <w:rPr>
              <w:b/>
              <w:bCs/>
            </w:rPr>
            <w:t>MUNICÍPIO DE IMIGRANTE</w:t>
          </w:r>
        </w:p>
        <w:p w14:paraId="3CBE7E96" w14:textId="77777777" w:rsidR="001D3A0E" w:rsidRDefault="00265528">
          <w:pPr>
            <w:pStyle w:val="Cabealho"/>
            <w:ind w:firstLine="0"/>
          </w:pPr>
          <w:r>
            <w:rPr>
              <w:b/>
              <w:bCs/>
            </w:rPr>
            <w:t>Departamento de Controle Interno</w:t>
          </w:r>
        </w:p>
      </w:tc>
      <w:tc>
        <w:tcPr>
          <w:tcW w:w="3402" w:type="dxa"/>
          <w:vAlign w:val="center"/>
        </w:tcPr>
        <w:p w14:paraId="730B1CA7" w14:textId="77777777" w:rsidR="001D3A0E" w:rsidRDefault="001D3A0E">
          <w:pPr>
            <w:pStyle w:val="Cabealho"/>
            <w:ind w:firstLine="0"/>
            <w:jc w:val="center"/>
          </w:pPr>
        </w:p>
      </w:tc>
    </w:tr>
  </w:tbl>
  <w:p w14:paraId="04EECD4D" w14:textId="77777777" w:rsidR="001D3A0E" w:rsidRDefault="001D3A0E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5C4E6" w14:textId="77777777" w:rsidR="001D3A0E" w:rsidRDefault="001D3A0E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1D3A0E" w14:paraId="1403FB0B" w14:textId="77777777">
      <w:trPr>
        <w:trHeight w:val="930"/>
      </w:trPr>
      <w:tc>
        <w:tcPr>
          <w:tcW w:w="1838" w:type="dxa"/>
          <w:vAlign w:val="center"/>
        </w:tcPr>
        <w:p w14:paraId="071F9FC6" w14:textId="77777777" w:rsidR="001D3A0E" w:rsidRDefault="00265528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025CC5E3" wp14:editId="3C204AF7">
                <wp:extent cx="571500" cy="584200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634117D7" w14:textId="77777777" w:rsidR="001D3A0E" w:rsidRDefault="00265528">
          <w:pPr>
            <w:pStyle w:val="Cabealho"/>
            <w:ind w:firstLine="0"/>
          </w:pPr>
          <w:r>
            <w:t>ESTADO DO RIO GRANDE DO SUL</w:t>
          </w:r>
        </w:p>
        <w:p w14:paraId="533C73B0" w14:textId="77777777" w:rsidR="001D3A0E" w:rsidRDefault="00265528">
          <w:pPr>
            <w:pStyle w:val="Cabealho"/>
            <w:ind w:firstLine="0"/>
            <w:rPr>
              <w:b/>
              <w:bCs/>
            </w:rPr>
          </w:pPr>
          <w:r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512F05F2" w14:textId="77777777" w:rsidR="001D3A0E" w:rsidRDefault="001D3A0E">
          <w:pPr>
            <w:pStyle w:val="Cabealho"/>
            <w:ind w:firstLine="0"/>
            <w:jc w:val="center"/>
          </w:pPr>
        </w:p>
      </w:tc>
    </w:tr>
  </w:tbl>
  <w:p w14:paraId="77C29E93" w14:textId="77777777" w:rsidR="001D3A0E" w:rsidRDefault="001D3A0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D554C0"/>
    <w:multiLevelType w:val="multilevel"/>
    <w:tmpl w:val="2ED554C0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CF0"/>
    <w:rsid w:val="00072DA4"/>
    <w:rsid w:val="0007381D"/>
    <w:rsid w:val="00077E86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155F"/>
    <w:rsid w:val="000D3B27"/>
    <w:rsid w:val="000D478B"/>
    <w:rsid w:val="000D512C"/>
    <w:rsid w:val="000E3599"/>
    <w:rsid w:val="000E4804"/>
    <w:rsid w:val="000E6B10"/>
    <w:rsid w:val="000E7C5C"/>
    <w:rsid w:val="000F0BE7"/>
    <w:rsid w:val="000F30B3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0F6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3A0E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2A00"/>
    <w:rsid w:val="00253093"/>
    <w:rsid w:val="00253FF3"/>
    <w:rsid w:val="00254CC1"/>
    <w:rsid w:val="002551EF"/>
    <w:rsid w:val="002607FE"/>
    <w:rsid w:val="00262A51"/>
    <w:rsid w:val="00263C53"/>
    <w:rsid w:val="002652F8"/>
    <w:rsid w:val="0026552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5597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37BA1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1EA0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785B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0FE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115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26B75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26F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1022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17F50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52AB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613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2EE8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2969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3D81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61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5084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4ABD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5AA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53C2"/>
    <w:rsid w:val="00D503B7"/>
    <w:rsid w:val="00D5077A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54F"/>
    <w:rsid w:val="00E15F7A"/>
    <w:rsid w:val="00E174C0"/>
    <w:rsid w:val="00E2220D"/>
    <w:rsid w:val="00E24F8B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201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3D0D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  <w:rsid w:val="74A6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40126"/>
  <w15:docId w15:val="{C0833192-82A9-4CFD-A7A4-3E8CCA194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20"/>
      <w:ind w:firstLine="284"/>
      <w:contextualSpacing/>
      <w:jc w:val="both"/>
    </w:pPr>
    <w:rPr>
      <w:rFonts w:ascii="Tahoma" w:hAnsi="Tahoma"/>
      <w:sz w:val="18"/>
      <w:szCs w:val="22"/>
      <w:lang w:eastAsia="en-US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pPr>
      <w:keepNext/>
      <w:keepLines/>
      <w:numPr>
        <w:numId w:val="1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pPr>
      <w:keepNext/>
      <w:keepLines/>
      <w:numPr>
        <w:ilvl w:val="2"/>
        <w:numId w:val="1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pPr>
      <w:keepNext/>
      <w:keepLines/>
      <w:numPr>
        <w:ilvl w:val="3"/>
        <w:numId w:val="1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character" w:styleId="Refdenotaderodap">
    <w:name w:val="footnote reference"/>
    <w:basedOn w:val="Fontepargpadro"/>
    <w:uiPriority w:val="99"/>
    <w:semiHidden/>
    <w:unhideWhenUsed/>
    <w:rPr>
      <w:vertAlign w:val="superscript"/>
    </w:rPr>
  </w:style>
  <w:style w:type="character" w:styleId="Hyperlink">
    <w:name w:val="Hyperlink"/>
    <w:basedOn w:val="Fontepargpadro"/>
    <w:uiPriority w:val="99"/>
    <w:unhideWhenUsed/>
    <w:rPr>
      <w:color w:val="0563C1" w:themeColor="hyperlink"/>
      <w:u w:val="single"/>
    </w:rPr>
  </w:style>
  <w:style w:type="paragraph" w:styleId="Sumrio2">
    <w:name w:val="toc 2"/>
    <w:basedOn w:val="Normal"/>
    <w:next w:val="Normal"/>
    <w:autoRedefine/>
    <w:uiPriority w:val="39"/>
    <w:unhideWhenUsed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Pr>
      <w:szCs w:val="20"/>
    </w:rPr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252"/>
        <w:tab w:val="right" w:pos="8504"/>
      </w:tabs>
      <w:spacing w:after="0"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Pr>
      <w:b/>
      <w:bCs/>
    </w:rPr>
  </w:style>
  <w:style w:type="paragraph" w:styleId="Rodap">
    <w:name w:val="footer"/>
    <w:basedOn w:val="Normal"/>
    <w:link w:val="RodapChar"/>
    <w:uiPriority w:val="99"/>
    <w:unhideWhenUsed/>
    <w:pPr>
      <w:tabs>
        <w:tab w:val="center" w:pos="4252"/>
        <w:tab w:val="right" w:pos="8504"/>
      </w:tabs>
      <w:spacing w:after="0"/>
    </w:pPr>
  </w:style>
  <w:style w:type="paragraph" w:styleId="Sumrio3">
    <w:name w:val="toc 3"/>
    <w:basedOn w:val="Normal"/>
    <w:next w:val="Normal"/>
    <w:autoRedefine/>
    <w:uiPriority w:val="39"/>
    <w:unhideWhenUsed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pPr>
      <w:spacing w:after="0"/>
    </w:pPr>
    <w:rPr>
      <w:rFonts w:ascii="Segoe UI" w:hAnsi="Segoe UI" w:cs="Segoe UI"/>
      <w:szCs w:val="18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pPr>
      <w:spacing w:after="0"/>
      <w:ind w:firstLine="0"/>
    </w:pPr>
    <w:rPr>
      <w:rFonts w:asciiTheme="minorHAnsi" w:hAnsiTheme="minorHAnsi"/>
      <w:szCs w:val="20"/>
    </w:rPr>
  </w:style>
  <w:style w:type="paragraph" w:styleId="Sumrio1">
    <w:name w:val="toc 1"/>
    <w:basedOn w:val="Normal"/>
    <w:next w:val="Normal"/>
    <w:autoRedefine/>
    <w:uiPriority w:val="39"/>
    <w:unhideWhenUsed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table" w:styleId="Tabelacomgrade">
    <w:name w:val="Table Grid"/>
    <w:basedOn w:val="Tabela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har">
    <w:name w:val="Cabeçalho Char"/>
    <w:basedOn w:val="Fontepargpadro"/>
    <w:link w:val="Cabealho"/>
    <w:uiPriority w:val="99"/>
    <w:rPr>
      <w:rFonts w:ascii="Tahoma" w:hAnsi="Tahoma"/>
      <w:sz w:val="20"/>
    </w:rPr>
  </w:style>
  <w:style w:type="character" w:customStyle="1" w:styleId="RodapChar">
    <w:name w:val="Rodapé Char"/>
    <w:basedOn w:val="Fontepargpadro"/>
    <w:link w:val="Rodap"/>
    <w:uiPriority w:val="99"/>
    <w:rPr>
      <w:rFonts w:ascii="Tahoma" w:hAnsi="Tahoma"/>
      <w:sz w:val="20"/>
    </w:rPr>
  </w:style>
  <w:style w:type="character" w:customStyle="1" w:styleId="Ttulo1Char">
    <w:name w:val="Título 1 Char"/>
    <w:basedOn w:val="Fontepargpadro"/>
    <w:link w:val="Ttulo1"/>
    <w:uiPriority w:val="9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pPr>
      <w:ind w:left="720"/>
    </w:pPr>
  </w:style>
  <w:style w:type="character" w:customStyle="1" w:styleId="MenoPendente1">
    <w:name w:val="Menção Pendente1"/>
    <w:basedOn w:val="Fontepargpadro"/>
    <w:uiPriority w:val="99"/>
    <w:semiHidden/>
    <w:unhideWhenUsed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Pr>
      <w:rFonts w:ascii="Segoe UI" w:hAnsi="Segoe UI" w:cs="Segoe UI"/>
      <w:sz w:val="18"/>
      <w:szCs w:val="18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rFonts w:ascii="Tahoma" w:hAnsi="Tahoma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Pr>
      <w:sz w:val="20"/>
      <w:szCs w:val="20"/>
    </w:rPr>
  </w:style>
  <w:style w:type="paragraph" w:styleId="Citao">
    <w:name w:val="Quote"/>
    <w:basedOn w:val="Normal"/>
    <w:next w:val="Normal"/>
    <w:link w:val="CitaoChar"/>
    <w:autoRedefine/>
    <w:uiPriority w:val="29"/>
    <w:qFormat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Pr>
      <w:rFonts w:eastAsiaTheme="minorEastAsia"/>
      <w:sz w:val="22"/>
      <w:szCs w:val="22"/>
    </w:rPr>
  </w:style>
  <w:style w:type="character" w:customStyle="1" w:styleId="SemEspaamentoChar">
    <w:name w:val="Sem Espaçamento Char"/>
    <w:basedOn w:val="Fontepargpadro"/>
    <w:link w:val="SemEspaamento"/>
    <w:uiPriority w:val="1"/>
    <w:rPr>
      <w:rFonts w:eastAsiaTheme="minorEastAsia"/>
      <w:lang w:eastAsia="pt-BR"/>
    </w:rPr>
  </w:style>
  <w:style w:type="paragraph" w:customStyle="1" w:styleId="CabealhodoSumrio1">
    <w:name w:val="Cabeçalho do Sumário1"/>
    <w:basedOn w:val="Ttulo1"/>
    <w:next w:val="Normal"/>
    <w:uiPriority w:val="39"/>
    <w:unhideWhenUsed/>
    <w:qFormat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fontstyle01">
    <w:name w:val="fontstyle01"/>
    <w:basedOn w:val="Fontepargpadro"/>
    <w:rPr>
      <w:rFonts w:ascii="Arial-BoldMT" w:hAnsi="Arial-BoldMT" w:hint="default"/>
      <w:b/>
      <w:bCs/>
      <w:color w:val="0000FF"/>
      <w:sz w:val="18"/>
      <w:szCs w:val="18"/>
    </w:rPr>
  </w:style>
  <w:style w:type="character" w:customStyle="1" w:styleId="fontstyle21">
    <w:name w:val="fontstyle21"/>
    <w:basedOn w:val="Fontepargpadro"/>
    <w:rPr>
      <w:rFonts w:ascii="ArialMT" w:hAnsi="ArialMT" w:hint="default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Pr>
      <w:rFonts w:ascii="Tahoma" w:hAnsi="Tahoma"/>
      <w:i/>
      <w:iCs/>
      <w:color w:val="4472C4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AE36AF-D42A-4CF3-B1B2-0FAD952F0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1843</Words>
  <Characters>9956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</dc:creator>
  <cp:lastModifiedBy>Felipe Pocebon</cp:lastModifiedBy>
  <cp:revision>22</cp:revision>
  <cp:lastPrinted>2023-09-15T19:27:00Z</cp:lastPrinted>
  <dcterms:created xsi:type="dcterms:W3CDTF">2023-03-10T12:55:00Z</dcterms:created>
  <dcterms:modified xsi:type="dcterms:W3CDTF">2025-02-18T18:57:00Z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1046-12.2.0.16731</vt:lpwstr>
  </property>
  <property fmtid="{D5CDD505-2E9C-101B-9397-08002B2CF9AE}" pid="3" name="ICV">
    <vt:lpwstr>8409D8AC66D542D58443CAA9B74099EF_12</vt:lpwstr>
  </property>
</Properties>
</file>