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DCEA0" w14:textId="77777777" w:rsidR="00517228" w:rsidRDefault="00F62FCF" w:rsidP="002A6360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TERMO DE REFERÊNCIA</w:t>
      </w:r>
    </w:p>
    <w:p w14:paraId="642C9AFA" w14:textId="77777777" w:rsidR="00517228" w:rsidRDefault="00F62FCF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>Caracterização do(s) objeto(s) que se pretenda(m) contratar</w:t>
      </w:r>
    </w:p>
    <w:p w14:paraId="1E425445" w14:textId="77777777" w:rsidR="00517228" w:rsidRDefault="00F62FCF">
      <w:pPr>
        <w:pStyle w:val="Ttulo1"/>
      </w:pPr>
      <w:r>
        <w:t>Definição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517228" w14:paraId="46CBDCDF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71A7A0AC" w14:textId="77777777" w:rsidR="00517228" w:rsidRDefault="00F62FCF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Natureza(s) do(s) Objeto(s)</w:t>
            </w:r>
          </w:p>
        </w:tc>
      </w:tr>
      <w:tr w:rsidR="00517228" w14:paraId="14D58934" w14:textId="77777777">
        <w:tc>
          <w:tcPr>
            <w:tcW w:w="2660" w:type="dxa"/>
            <w:shd w:val="clear" w:color="auto" w:fill="auto"/>
            <w:vAlign w:val="center"/>
          </w:tcPr>
          <w:p w14:paraId="15E5308E" w14:textId="55836A6A" w:rsidR="00517228" w:rsidRPr="00851996" w:rsidRDefault="00F62FCF">
            <w:pPr>
              <w:ind w:firstLine="0"/>
              <w:rPr>
                <w:b/>
                <w:bCs/>
                <w:sz w:val="16"/>
                <w:szCs w:val="16"/>
              </w:rPr>
            </w:pPr>
            <w:r w:rsidRPr="00851996">
              <w:rPr>
                <w:b/>
                <w:bCs/>
                <w:sz w:val="16"/>
                <w:szCs w:val="16"/>
              </w:rPr>
              <w:t>(</w:t>
            </w:r>
            <w:r w:rsidR="003E4193" w:rsidRPr="00851996">
              <w:rPr>
                <w:b/>
                <w:bCs/>
                <w:sz w:val="16"/>
                <w:szCs w:val="16"/>
              </w:rPr>
              <w:t>X</w:t>
            </w:r>
            <w:r w:rsidRPr="00851996">
              <w:rPr>
                <w:b/>
                <w:bCs/>
                <w:sz w:val="16"/>
                <w:szCs w:val="16"/>
              </w:rPr>
              <w:t>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4846D63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765327A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E3F0C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Concessão de Bens</w:t>
            </w:r>
          </w:p>
        </w:tc>
      </w:tr>
      <w:tr w:rsidR="00517228" w14:paraId="2B776D39" w14:textId="77777777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5EFD3B33" w14:textId="77777777" w:rsidR="00517228" w:rsidRPr="00851996" w:rsidRDefault="00F62FCF">
            <w:pPr>
              <w:ind w:firstLine="0"/>
              <w:rPr>
                <w:b/>
                <w:bCs/>
                <w:sz w:val="16"/>
                <w:szCs w:val="16"/>
              </w:rPr>
            </w:pPr>
            <w:r w:rsidRPr="00851996">
              <w:rPr>
                <w:b/>
                <w:bCs/>
                <w:sz w:val="16"/>
                <w:szCs w:val="16"/>
              </w:rPr>
              <w:t xml:space="preserve">(X)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3D4ECEB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91C19A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BCD656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Permissão de Bens</w:t>
            </w:r>
          </w:p>
        </w:tc>
      </w:tr>
      <w:tr w:rsidR="00517228" w14:paraId="13D41580" w14:textId="77777777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5DE3A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 )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B2B97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Fornecimento e prestação de serviço associados</w:t>
            </w:r>
          </w:p>
        </w:tc>
      </w:tr>
    </w:tbl>
    <w:p w14:paraId="4A499A94" w14:textId="77777777" w:rsidR="00517228" w:rsidRDefault="00517228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517228" w14:paraId="3A6940B9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04BBF9C2" w14:textId="77777777" w:rsidR="00517228" w:rsidRDefault="00F62FCF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Tipo(s) de Objeto(s)</w:t>
            </w:r>
          </w:p>
        </w:tc>
      </w:tr>
      <w:tr w:rsidR="00517228" w14:paraId="6139AC79" w14:textId="77777777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72E4CA5A" w14:textId="132240B3" w:rsidR="00517228" w:rsidRPr="00851996" w:rsidRDefault="00F62FCF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851996">
              <w:rPr>
                <w:b/>
                <w:bCs/>
                <w:sz w:val="16"/>
                <w:szCs w:val="16"/>
              </w:rPr>
              <w:t>(</w:t>
            </w:r>
            <w:r w:rsidR="003E4193" w:rsidRPr="00851996">
              <w:rPr>
                <w:b/>
                <w:bCs/>
                <w:sz w:val="16"/>
                <w:szCs w:val="16"/>
              </w:rPr>
              <w:t>X</w:t>
            </w:r>
            <w:r w:rsidRPr="00851996">
              <w:rPr>
                <w:b/>
                <w:bCs/>
                <w:sz w:val="16"/>
                <w:szCs w:val="16"/>
              </w:rPr>
              <w:t>) Bem(ns)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4E33D408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Bem(ns)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355A2221" w14:textId="41C8F59D" w:rsidR="00517228" w:rsidRPr="00851996" w:rsidRDefault="00F62FCF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851996">
              <w:rPr>
                <w:b/>
                <w:bCs/>
                <w:sz w:val="16"/>
                <w:szCs w:val="16"/>
              </w:rPr>
              <w:t>(</w:t>
            </w:r>
            <w:r w:rsidR="00851996" w:rsidRPr="00851996">
              <w:rPr>
                <w:b/>
                <w:bCs/>
                <w:sz w:val="16"/>
                <w:szCs w:val="16"/>
              </w:rPr>
              <w:t>X</w:t>
            </w:r>
            <w:r w:rsidRPr="00851996">
              <w:rPr>
                <w:b/>
                <w:bCs/>
                <w:sz w:val="16"/>
                <w:szCs w:val="16"/>
              </w:rPr>
              <w:t>) Serviço(s)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5DDC230E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0B63B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) Serviço(s) Especial(is)</w:t>
            </w:r>
          </w:p>
        </w:tc>
      </w:tr>
      <w:tr w:rsidR="00517228" w14:paraId="63885C32" w14:textId="77777777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7C9A765E" w14:textId="77777777" w:rsidR="00517228" w:rsidRPr="00851996" w:rsidRDefault="00F62FCF">
            <w:pPr>
              <w:ind w:firstLine="0"/>
              <w:jc w:val="left"/>
              <w:rPr>
                <w:sz w:val="16"/>
                <w:szCs w:val="16"/>
              </w:rPr>
            </w:pPr>
            <w:r w:rsidRPr="00851996">
              <w:rPr>
                <w:sz w:val="16"/>
                <w:szCs w:val="16"/>
              </w:rPr>
              <w:t>(  ) Obra(s) Comum(ns)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4CBC013D" w14:textId="77777777" w:rsidR="00517228" w:rsidRPr="00851996" w:rsidRDefault="00F62FCF">
            <w:pPr>
              <w:ind w:firstLine="0"/>
              <w:jc w:val="left"/>
              <w:rPr>
                <w:sz w:val="16"/>
                <w:szCs w:val="16"/>
              </w:rPr>
            </w:pPr>
            <w:r w:rsidRPr="00851996">
              <w:rPr>
                <w:sz w:val="16"/>
                <w:szCs w:val="16"/>
              </w:rPr>
              <w:t>(  ) Obra(s) Especial(is) de Engenharia</w:t>
            </w:r>
          </w:p>
        </w:tc>
      </w:tr>
      <w:tr w:rsidR="00517228" w14:paraId="04B405D9" w14:textId="77777777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0145DE9B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Serviço(s) Comum(ns)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70799E1F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Serviço(s) Especial(is) de Engenharia</w:t>
            </w:r>
          </w:p>
        </w:tc>
      </w:tr>
    </w:tbl>
    <w:p w14:paraId="09511B25" w14:textId="77777777" w:rsidR="00517228" w:rsidRDefault="00517228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517228" w14:paraId="7CBBA0E0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078B0E98" w14:textId="77777777" w:rsidR="00517228" w:rsidRDefault="00F62FCF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Catálogo Eletrônico de Padronização</w:t>
            </w:r>
          </w:p>
        </w:tc>
      </w:tr>
      <w:tr w:rsidR="00517228" w14:paraId="002F9982" w14:textId="77777777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17B267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23EB2A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018A9E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Não identificado(s) e/ou localizado(s) no catálogo</w:t>
            </w:r>
          </w:p>
        </w:tc>
      </w:tr>
      <w:tr w:rsidR="00517228" w14:paraId="38007599" w14:textId="77777777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D20B5FE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(X) </w:t>
            </w:r>
            <w:r>
              <w:rPr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>
              <w:rPr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2AF299BB" w14:textId="77777777" w:rsidR="00517228" w:rsidRDefault="00517228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517228" w14:paraId="5F26F721" w14:textId="77777777" w:rsidTr="002A6360">
        <w:trPr>
          <w:trHeight w:val="179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04AC402F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encontrado no catálogo eletrônico de padronização.</w:t>
            </w:r>
          </w:p>
        </w:tc>
      </w:tr>
    </w:tbl>
    <w:p w14:paraId="74E3A5B2" w14:textId="77777777" w:rsidR="00517228" w:rsidRDefault="00517228"/>
    <w:tbl>
      <w:tblPr>
        <w:tblW w:w="10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6315"/>
        <w:gridCol w:w="596"/>
        <w:gridCol w:w="567"/>
        <w:gridCol w:w="1134"/>
        <w:gridCol w:w="1246"/>
        <w:gridCol w:w="22"/>
      </w:tblGrid>
      <w:tr w:rsidR="00517228" w14:paraId="4C82586E" w14:textId="77777777" w:rsidTr="00851996">
        <w:tc>
          <w:tcPr>
            <w:tcW w:w="10364" w:type="dxa"/>
            <w:gridSpan w:val="7"/>
            <w:shd w:val="clear" w:color="auto" w:fill="auto"/>
            <w:vAlign w:val="center"/>
          </w:tcPr>
          <w:p w14:paraId="5C588F67" w14:textId="77777777" w:rsidR="00517228" w:rsidRDefault="00F62FCF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Itens</w:t>
            </w:r>
          </w:p>
        </w:tc>
      </w:tr>
      <w:tr w:rsidR="00517228" w14:paraId="433D77E8" w14:textId="77777777" w:rsidTr="00851996">
        <w:trPr>
          <w:gridAfter w:val="1"/>
          <w:wAfter w:w="22" w:type="dxa"/>
          <w:trHeight w:val="110"/>
        </w:trPr>
        <w:tc>
          <w:tcPr>
            <w:tcW w:w="484" w:type="dxa"/>
            <w:shd w:val="clear" w:color="auto" w:fill="auto"/>
            <w:vAlign w:val="center"/>
          </w:tcPr>
          <w:p w14:paraId="3F875106" w14:textId="77777777" w:rsidR="00517228" w:rsidRDefault="00F62FCF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453C1D95" w14:textId="77777777" w:rsidR="00517228" w:rsidRDefault="00F62FCF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2E47C521" w14:textId="77777777" w:rsidR="00517228" w:rsidRDefault="00F62FCF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626153" w14:textId="77777777" w:rsidR="00517228" w:rsidRDefault="00F62FCF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3C7AED" w14:textId="77777777" w:rsidR="00517228" w:rsidRDefault="00F62FCF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Preço Unit.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2244C4C5" w14:textId="77777777" w:rsidR="00517228" w:rsidRDefault="00F62FCF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Preço Total</w:t>
            </w:r>
          </w:p>
        </w:tc>
      </w:tr>
      <w:tr w:rsidR="00517228" w14:paraId="5D727297" w14:textId="77777777" w:rsidTr="00851996">
        <w:trPr>
          <w:gridAfter w:val="1"/>
          <w:wAfter w:w="22" w:type="dxa"/>
          <w:trHeight w:val="992"/>
        </w:trPr>
        <w:tc>
          <w:tcPr>
            <w:tcW w:w="484" w:type="dxa"/>
            <w:shd w:val="clear" w:color="auto" w:fill="auto"/>
            <w:vAlign w:val="center"/>
          </w:tcPr>
          <w:p w14:paraId="282DDDEB" w14:textId="13B7A242" w:rsidR="00517228" w:rsidRDefault="002A6360" w:rsidP="008519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F62FCF">
              <w:rPr>
                <w:sz w:val="16"/>
                <w:szCs w:val="16"/>
              </w:rPr>
              <w:t>1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02A743A9" w14:textId="10F95F03" w:rsidR="00517228" w:rsidRDefault="00F62FCF" w:rsidP="00851996">
            <w:pPr>
              <w:spacing w:line="276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Contratação da empresa </w:t>
            </w:r>
            <w:r w:rsidR="00851996">
              <w:rPr>
                <w:sz w:val="16"/>
                <w:szCs w:val="16"/>
              </w:rPr>
              <w:t>para prestação dos serviços</w:t>
            </w:r>
            <w:r>
              <w:rPr>
                <w:sz w:val="16"/>
                <w:szCs w:val="16"/>
              </w:rPr>
              <w:t xml:space="preserve"> de M</w:t>
            </w:r>
            <w:r w:rsidR="003C659B" w:rsidRPr="003C659B">
              <w:rPr>
                <w:sz w:val="16"/>
                <w:szCs w:val="16"/>
              </w:rPr>
              <w:t xml:space="preserve">anutenção </w:t>
            </w:r>
            <w:r w:rsidR="00B05584">
              <w:rPr>
                <w:sz w:val="16"/>
                <w:szCs w:val="16"/>
              </w:rPr>
              <w:t>Corret</w:t>
            </w:r>
            <w:r w:rsidR="00B05584" w:rsidRPr="003C659B">
              <w:rPr>
                <w:sz w:val="16"/>
                <w:szCs w:val="16"/>
              </w:rPr>
              <w:t>iva das</w:t>
            </w:r>
            <w:r w:rsidR="003C659B" w:rsidRPr="003C659B">
              <w:rPr>
                <w:sz w:val="16"/>
                <w:szCs w:val="16"/>
              </w:rPr>
              <w:t xml:space="preserve"> Câmaras de Armazenamento de Vacinas dos Postos de Saúd</w:t>
            </w:r>
            <w:r>
              <w:rPr>
                <w:sz w:val="16"/>
                <w:szCs w:val="16"/>
              </w:rPr>
              <w:t>e</w:t>
            </w:r>
            <w:r w:rsidR="00851996">
              <w:rPr>
                <w:sz w:val="16"/>
                <w:szCs w:val="16"/>
              </w:rPr>
              <w:t xml:space="preserve">, </w:t>
            </w:r>
            <w:r w:rsidR="003C659B" w:rsidRPr="003C659B">
              <w:rPr>
                <w:sz w:val="16"/>
                <w:szCs w:val="16"/>
              </w:rPr>
              <w:t>Recalibração do</w:t>
            </w:r>
            <w:r w:rsidR="003C659B">
              <w:rPr>
                <w:sz w:val="16"/>
                <w:szCs w:val="16"/>
              </w:rPr>
              <w:t xml:space="preserve"> </w:t>
            </w:r>
            <w:r w:rsidR="003C659B" w:rsidRPr="003C659B">
              <w:rPr>
                <w:sz w:val="16"/>
                <w:szCs w:val="16"/>
              </w:rPr>
              <w:t>controlador de temperatura, através do calibrador mestre certificado via</w:t>
            </w:r>
            <w:r w:rsidR="003C659B">
              <w:rPr>
                <w:sz w:val="16"/>
                <w:szCs w:val="16"/>
              </w:rPr>
              <w:t xml:space="preserve"> </w:t>
            </w:r>
            <w:r w:rsidR="003C659B" w:rsidRPr="003C659B">
              <w:rPr>
                <w:sz w:val="16"/>
                <w:szCs w:val="16"/>
              </w:rPr>
              <w:t>RBC (Rede Brasileira de Calibração)</w:t>
            </w:r>
            <w:r w:rsidR="00851996">
              <w:rPr>
                <w:sz w:val="16"/>
                <w:szCs w:val="16"/>
              </w:rPr>
              <w:t xml:space="preserve"> e </w:t>
            </w:r>
            <w:r w:rsidR="003C659B" w:rsidRPr="003C659B">
              <w:rPr>
                <w:sz w:val="16"/>
                <w:szCs w:val="16"/>
              </w:rPr>
              <w:t>Revisão do sistema eletrônico,</w:t>
            </w:r>
            <w:r w:rsidR="003C659B">
              <w:rPr>
                <w:sz w:val="16"/>
                <w:szCs w:val="16"/>
              </w:rPr>
              <w:t xml:space="preserve"> </w:t>
            </w:r>
            <w:r w:rsidR="003C659B" w:rsidRPr="003C659B">
              <w:rPr>
                <w:sz w:val="16"/>
                <w:szCs w:val="16"/>
              </w:rPr>
              <w:t>refrigeração e estrutural do equipamento.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65DB6237" w14:textId="773A4FC3" w:rsidR="00517228" w:rsidRDefault="00F62FCF" w:rsidP="008519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3E4193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53BE30" w14:textId="718A98DD" w:rsidR="00517228" w:rsidRDefault="00851996" w:rsidP="008519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B3F8A1" w14:textId="0BFC5F35" w:rsidR="00517228" w:rsidRDefault="00F62FCF" w:rsidP="00851996">
            <w:pPr>
              <w:wordWrap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="003E4193">
              <w:rPr>
                <w:sz w:val="16"/>
                <w:szCs w:val="16"/>
              </w:rPr>
              <w:t>87</w:t>
            </w: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4A55ED03" w14:textId="31E25C3B" w:rsidR="00517228" w:rsidRDefault="00F62FCF" w:rsidP="00851996">
            <w:pPr>
              <w:wordWrap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="003E4193">
              <w:rPr>
                <w:sz w:val="16"/>
                <w:szCs w:val="16"/>
              </w:rPr>
              <w:t>1</w:t>
            </w:r>
            <w:r w:rsidR="00851996">
              <w:rPr>
                <w:sz w:val="16"/>
                <w:szCs w:val="16"/>
              </w:rPr>
              <w:t>.</w:t>
            </w:r>
            <w:r w:rsidR="003E4193">
              <w:rPr>
                <w:sz w:val="16"/>
                <w:szCs w:val="16"/>
              </w:rPr>
              <w:t>740</w:t>
            </w:r>
            <w:r>
              <w:rPr>
                <w:sz w:val="16"/>
                <w:szCs w:val="16"/>
              </w:rPr>
              <w:t>,00</w:t>
            </w:r>
          </w:p>
        </w:tc>
      </w:tr>
      <w:tr w:rsidR="003E4193" w14:paraId="73D15AE3" w14:textId="77777777" w:rsidTr="00851996">
        <w:trPr>
          <w:gridAfter w:val="1"/>
          <w:wAfter w:w="22" w:type="dxa"/>
          <w:trHeight w:val="301"/>
        </w:trPr>
        <w:tc>
          <w:tcPr>
            <w:tcW w:w="484" w:type="dxa"/>
            <w:shd w:val="clear" w:color="auto" w:fill="auto"/>
            <w:vAlign w:val="center"/>
          </w:tcPr>
          <w:p w14:paraId="641E316F" w14:textId="06D87188" w:rsidR="003E4193" w:rsidRDefault="002A6360" w:rsidP="008519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3E4193">
              <w:rPr>
                <w:sz w:val="16"/>
                <w:szCs w:val="16"/>
              </w:rPr>
              <w:t>2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755B688E" w14:textId="288B045C" w:rsidR="003E4193" w:rsidRDefault="00851996" w:rsidP="00851996">
            <w:pPr>
              <w:spacing w:line="276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Aquisição, troca e instalação de </w:t>
            </w:r>
            <w:r w:rsidR="003E4193">
              <w:rPr>
                <w:sz w:val="16"/>
                <w:szCs w:val="16"/>
              </w:rPr>
              <w:t>BATERIA ESTACIONÁRIA 105</w:t>
            </w:r>
            <w:r>
              <w:rPr>
                <w:sz w:val="16"/>
                <w:szCs w:val="16"/>
              </w:rPr>
              <w:t>AH (</w:t>
            </w:r>
            <w:r w:rsidRPr="00851996">
              <w:rPr>
                <w:sz w:val="16"/>
                <w:szCs w:val="16"/>
              </w:rPr>
              <w:t>Ampère-hora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4EC70BBE" w14:textId="1A468DF4" w:rsidR="003E4193" w:rsidRDefault="003E4193" w:rsidP="008519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1A511D" w14:textId="38F7A523" w:rsidR="003E4193" w:rsidRDefault="00851996" w:rsidP="008519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A69E41" w14:textId="012DA3AF" w:rsidR="003E4193" w:rsidRDefault="003E4193" w:rsidP="00851996">
            <w:pPr>
              <w:wordWrap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</w:t>
            </w:r>
            <w:r w:rsidR="005340C5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555,85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1C11D97D" w14:textId="560E307E" w:rsidR="003E4193" w:rsidRDefault="003E4193" w:rsidP="00851996">
            <w:pPr>
              <w:wordWrap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R$ 3.111,70</w:t>
            </w:r>
          </w:p>
        </w:tc>
      </w:tr>
      <w:tr w:rsidR="003E4193" w14:paraId="0E81DA2D" w14:textId="77777777" w:rsidTr="00851996">
        <w:trPr>
          <w:gridAfter w:val="1"/>
          <w:wAfter w:w="22" w:type="dxa"/>
          <w:trHeight w:val="279"/>
        </w:trPr>
        <w:tc>
          <w:tcPr>
            <w:tcW w:w="484" w:type="dxa"/>
            <w:shd w:val="clear" w:color="auto" w:fill="auto"/>
            <w:vAlign w:val="center"/>
          </w:tcPr>
          <w:p w14:paraId="06C62E12" w14:textId="388820AF" w:rsidR="003E4193" w:rsidRDefault="002A6360" w:rsidP="008519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3E4193">
              <w:rPr>
                <w:sz w:val="16"/>
                <w:szCs w:val="16"/>
              </w:rPr>
              <w:t>3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7BE2260D" w14:textId="7832FA8F" w:rsidR="003E4193" w:rsidRDefault="00851996" w:rsidP="00851996">
            <w:pPr>
              <w:spacing w:line="276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Aquisição, troca e instalação de </w:t>
            </w:r>
            <w:r w:rsidR="003E4193">
              <w:rPr>
                <w:sz w:val="16"/>
                <w:szCs w:val="16"/>
              </w:rPr>
              <w:t>BATERIA ESTACIONÁRIA 185</w:t>
            </w:r>
            <w:r>
              <w:rPr>
                <w:sz w:val="16"/>
                <w:szCs w:val="16"/>
              </w:rPr>
              <w:t>AH (</w:t>
            </w:r>
            <w:r w:rsidRPr="00851996">
              <w:rPr>
                <w:sz w:val="16"/>
                <w:szCs w:val="16"/>
              </w:rPr>
              <w:t>Ampère-hora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2DDAC5CC" w14:textId="6111F991" w:rsidR="003E4193" w:rsidRDefault="003E4193" w:rsidP="008519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E2ED5D" w14:textId="46D788AD" w:rsidR="003E4193" w:rsidRDefault="00851996" w:rsidP="00851996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B8E2D9" w14:textId="4EED2E3D" w:rsidR="003E4193" w:rsidRDefault="003E4193" w:rsidP="00851996">
            <w:pPr>
              <w:wordWrap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R$ 2</w:t>
            </w:r>
            <w:r w:rsidR="005340C5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631,65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17E38569" w14:textId="6D174C98" w:rsidR="003E4193" w:rsidRDefault="003E4193" w:rsidP="00851996">
            <w:pPr>
              <w:wordWrap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R$ 2</w:t>
            </w:r>
            <w:r w:rsidR="00851996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631,65</w:t>
            </w:r>
          </w:p>
        </w:tc>
      </w:tr>
      <w:tr w:rsidR="00851996" w14:paraId="7F2A4F26" w14:textId="77777777" w:rsidTr="00851996">
        <w:trPr>
          <w:trHeight w:val="265"/>
        </w:trPr>
        <w:tc>
          <w:tcPr>
            <w:tcW w:w="10364" w:type="dxa"/>
            <w:gridSpan w:val="7"/>
            <w:shd w:val="clear" w:color="auto" w:fill="auto"/>
            <w:vAlign w:val="center"/>
          </w:tcPr>
          <w:p w14:paraId="0BC42774" w14:textId="06900588" w:rsidR="00851996" w:rsidRPr="00851996" w:rsidRDefault="00851996" w:rsidP="00851996">
            <w:pPr>
              <w:wordWrap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851996">
              <w:rPr>
                <w:b/>
                <w:bCs/>
                <w:sz w:val="16"/>
                <w:szCs w:val="16"/>
              </w:rPr>
              <w:t>Valor total da Contratação: R$ 7.483,35</w:t>
            </w:r>
          </w:p>
        </w:tc>
      </w:tr>
    </w:tbl>
    <w:p w14:paraId="0AA2F748" w14:textId="77777777" w:rsidR="00517228" w:rsidRDefault="00517228"/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3685"/>
        <w:gridCol w:w="4508"/>
      </w:tblGrid>
      <w:tr w:rsidR="00517228" w14:paraId="61961B84" w14:textId="77777777" w:rsidTr="002A6360">
        <w:trPr>
          <w:trHeight w:val="214"/>
        </w:trPr>
        <w:tc>
          <w:tcPr>
            <w:tcW w:w="10315" w:type="dxa"/>
            <w:gridSpan w:val="3"/>
            <w:shd w:val="clear" w:color="auto" w:fill="auto"/>
            <w:vAlign w:val="center"/>
          </w:tcPr>
          <w:p w14:paraId="28F53244" w14:textId="77777777" w:rsidR="00517228" w:rsidRDefault="00F62FCF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Condições de Entrega(s) </w:t>
            </w:r>
          </w:p>
        </w:tc>
      </w:tr>
      <w:tr w:rsidR="00517228" w14:paraId="1C293698" w14:textId="77777777" w:rsidTr="0044493E">
        <w:trPr>
          <w:trHeight w:val="517"/>
        </w:trPr>
        <w:tc>
          <w:tcPr>
            <w:tcW w:w="2122" w:type="dxa"/>
            <w:shd w:val="clear" w:color="auto" w:fill="auto"/>
            <w:vAlign w:val="center"/>
          </w:tcPr>
          <w:p w14:paraId="56AA755D" w14:textId="77777777" w:rsidR="00517228" w:rsidRDefault="00F62FC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Entrega:</w:t>
            </w:r>
          </w:p>
        </w:tc>
        <w:tc>
          <w:tcPr>
            <w:tcW w:w="8193" w:type="dxa"/>
            <w:gridSpan w:val="2"/>
            <w:shd w:val="clear" w:color="auto" w:fill="auto"/>
            <w:vAlign w:val="center"/>
          </w:tcPr>
          <w:p w14:paraId="64654587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 w:rsidRPr="003C659B">
              <w:rPr>
                <w:b/>
                <w:bCs/>
                <w:sz w:val="16"/>
                <w:szCs w:val="16"/>
              </w:rPr>
              <w:t>30 dias</w:t>
            </w:r>
            <w:r>
              <w:rPr>
                <w:sz w:val="16"/>
                <w:szCs w:val="16"/>
              </w:rPr>
              <w:t xml:space="preserve"> a contar da autorização de compra e/ou ordem de execução de serviço, nota de empenho de despesa, ou emissão de outro instrumento hábil equivalente.</w:t>
            </w:r>
          </w:p>
        </w:tc>
      </w:tr>
      <w:tr w:rsidR="00517228" w14:paraId="3953663B" w14:textId="77777777" w:rsidTr="002A6360">
        <w:trPr>
          <w:trHeight w:val="309"/>
        </w:trPr>
        <w:tc>
          <w:tcPr>
            <w:tcW w:w="2122" w:type="dxa"/>
            <w:shd w:val="clear" w:color="auto" w:fill="auto"/>
            <w:vAlign w:val="center"/>
          </w:tcPr>
          <w:p w14:paraId="742023EE" w14:textId="77777777" w:rsidR="00517228" w:rsidRDefault="00F62FC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Horário(s) de entrega(s):</w:t>
            </w:r>
          </w:p>
        </w:tc>
        <w:tc>
          <w:tcPr>
            <w:tcW w:w="8193" w:type="dxa"/>
            <w:gridSpan w:val="2"/>
            <w:shd w:val="clear" w:color="auto" w:fill="auto"/>
            <w:vAlign w:val="center"/>
          </w:tcPr>
          <w:p w14:paraId="100F62F1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 segunda a sexta-feira, das </w:t>
            </w:r>
            <w:r w:rsidR="003C659B">
              <w:rPr>
                <w:sz w:val="16"/>
                <w:szCs w:val="16"/>
              </w:rPr>
              <w:t>07:30</w:t>
            </w:r>
            <w:r>
              <w:rPr>
                <w:sz w:val="16"/>
                <w:szCs w:val="16"/>
              </w:rPr>
              <w:t>h às 11</w:t>
            </w:r>
            <w:r w:rsidR="003C659B">
              <w:rPr>
                <w:sz w:val="16"/>
                <w:szCs w:val="16"/>
              </w:rPr>
              <w:t>:30</w:t>
            </w:r>
            <w:r>
              <w:rPr>
                <w:sz w:val="16"/>
                <w:szCs w:val="16"/>
              </w:rPr>
              <w:t>h e das 13</w:t>
            </w:r>
            <w:r w:rsidR="003C659B">
              <w:rPr>
                <w:sz w:val="16"/>
                <w:szCs w:val="16"/>
              </w:rPr>
              <w:t>:00</w:t>
            </w:r>
            <w:r>
              <w:rPr>
                <w:sz w:val="16"/>
                <w:szCs w:val="16"/>
              </w:rPr>
              <w:t>h às 1</w:t>
            </w:r>
            <w:r w:rsidR="003C659B">
              <w:rPr>
                <w:sz w:val="16"/>
                <w:szCs w:val="16"/>
              </w:rPr>
              <w:t>7:00</w:t>
            </w:r>
            <w:r w:rsidR="004A1332">
              <w:rPr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.</w:t>
            </w:r>
          </w:p>
        </w:tc>
      </w:tr>
      <w:tr w:rsidR="0044493E" w14:paraId="61A8A8CC" w14:textId="77777777" w:rsidTr="0044493E">
        <w:trPr>
          <w:trHeight w:val="289"/>
        </w:trPr>
        <w:tc>
          <w:tcPr>
            <w:tcW w:w="212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85C57E" w14:textId="77777777" w:rsidR="0044493E" w:rsidRDefault="0044493E" w:rsidP="00444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Locais de Entrega: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6475E" w14:textId="77777777" w:rsidR="0044493E" w:rsidRDefault="0044493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Sec. da Saúde e Assist. Social</w:t>
            </w:r>
          </w:p>
        </w:tc>
        <w:tc>
          <w:tcPr>
            <w:tcW w:w="45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1CBDC2" w14:textId="77777777" w:rsidR="0044493E" w:rsidRDefault="0044493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Av. Dr. Ito João Snel, 870 – Centro – Imigrante/RS</w:t>
            </w:r>
          </w:p>
        </w:tc>
      </w:tr>
      <w:tr w:rsidR="0044493E" w14:paraId="550488C4" w14:textId="77777777" w:rsidTr="0044493E">
        <w:trPr>
          <w:trHeight w:val="265"/>
        </w:trPr>
        <w:tc>
          <w:tcPr>
            <w:tcW w:w="212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60747A" w14:textId="77777777" w:rsidR="0044493E" w:rsidRDefault="004449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1220A" w14:textId="77777777" w:rsidR="0044493E" w:rsidRDefault="0044493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Unidade Básica de Saúde - Daltro Filho</w:t>
            </w:r>
          </w:p>
        </w:tc>
        <w:tc>
          <w:tcPr>
            <w:tcW w:w="45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63E2E7" w14:textId="77777777" w:rsidR="0044493E" w:rsidRDefault="0044493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Rua Henrique Blum, 150 – Daltro Filho – Imigrante/RS</w:t>
            </w:r>
          </w:p>
        </w:tc>
      </w:tr>
    </w:tbl>
    <w:p w14:paraId="29FFA0AB" w14:textId="77777777" w:rsidR="00517228" w:rsidRDefault="00517228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517228" w14:paraId="40440C0F" w14:textId="77777777">
        <w:tc>
          <w:tcPr>
            <w:tcW w:w="10314" w:type="dxa"/>
            <w:shd w:val="clear" w:color="auto" w:fill="auto"/>
            <w:vAlign w:val="center"/>
          </w:tcPr>
          <w:p w14:paraId="4EC39550" w14:textId="77777777" w:rsidR="00517228" w:rsidRDefault="00F62FCF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Regras para Recebimento Provisório e/ou Definitivo</w:t>
            </w:r>
          </w:p>
        </w:tc>
      </w:tr>
      <w:tr w:rsidR="00517228" w14:paraId="518E00D5" w14:textId="77777777">
        <w:tc>
          <w:tcPr>
            <w:tcW w:w="10314" w:type="dxa"/>
            <w:shd w:val="clear" w:color="auto" w:fill="auto"/>
            <w:vAlign w:val="center"/>
          </w:tcPr>
          <w:p w14:paraId="0D8F67CE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fisca(is) do contrato deverão verificar se a </w:t>
            </w:r>
            <w:r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4FC2D1A8" w14:textId="77777777" w:rsidR="00517228" w:rsidRDefault="00517228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517228" w14:paraId="7FCC67B0" w14:textId="77777777">
        <w:tc>
          <w:tcPr>
            <w:tcW w:w="10314" w:type="dxa"/>
            <w:gridSpan w:val="3"/>
            <w:shd w:val="clear" w:color="auto" w:fill="auto"/>
            <w:vAlign w:val="center"/>
          </w:tcPr>
          <w:p w14:paraId="7FF1F18B" w14:textId="77777777" w:rsidR="00517228" w:rsidRDefault="00F62FCF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Garantia, Manutenção e Assistência Técnica</w:t>
            </w:r>
          </w:p>
        </w:tc>
      </w:tr>
      <w:tr w:rsidR="00517228" w14:paraId="0D351E9A" w14:textId="77777777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5FB2D76D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6AFF609D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44493E"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22A5614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Outro (especificar abaixo):</w:t>
            </w:r>
          </w:p>
        </w:tc>
      </w:tr>
      <w:tr w:rsidR="00517228" w14:paraId="31EA4954" w14:textId="77777777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49E3AB8C" w14:textId="77777777" w:rsidR="00517228" w:rsidRDefault="00F62FCF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3E38FD24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2B541B68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Se, durante o prazo de garantia, os produtos e/ou serviços, apresentarem defeitos e/ou vícios, o fornecedor deverá substitui-los ou refazê-los no prazo de até </w:t>
            </w:r>
            <w:r w:rsidRPr="0044493E">
              <w:rPr>
                <w:b/>
                <w:bCs/>
                <w:sz w:val="16"/>
                <w:szCs w:val="16"/>
              </w:rPr>
              <w:t>07 dias</w:t>
            </w:r>
            <w:r>
              <w:rPr>
                <w:sz w:val="16"/>
                <w:szCs w:val="16"/>
              </w:rPr>
              <w:t>, a partir da comunicação por escrito.</w:t>
            </w:r>
          </w:p>
          <w:p w14:paraId="54AC29A4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6BC64FA4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>
              <w:rPr>
                <w:b/>
                <w:bCs/>
                <w:sz w:val="16"/>
                <w:szCs w:val="16"/>
              </w:rPr>
              <w:t>os custos de transporte (envio e retorno) serão de responsabilidade do fornecedor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40BF403" w14:textId="77777777" w:rsidR="00517228" w:rsidRDefault="00F62FCF">
      <w:pPr>
        <w:pStyle w:val="Ttulo1"/>
      </w:pPr>
      <w: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517228" w14:paraId="04BB7ABB" w14:textId="77777777" w:rsidTr="002A6360">
        <w:trPr>
          <w:trHeight w:val="205"/>
        </w:trPr>
        <w:tc>
          <w:tcPr>
            <w:tcW w:w="1526" w:type="dxa"/>
            <w:shd w:val="clear" w:color="auto" w:fill="auto"/>
            <w:vAlign w:val="center"/>
          </w:tcPr>
          <w:p w14:paraId="599CB80F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44493E"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6C4DEE4A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Até 2 anos, por se tratar de SRP, comprovado o preço vantajoso, cfe. art. 84 da Lei 14.133/21</w:t>
            </w:r>
          </w:p>
        </w:tc>
      </w:tr>
      <w:tr w:rsidR="00517228" w14:paraId="79B63F21" w14:textId="77777777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27601680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2C4BF9AD" w14:textId="77777777" w:rsidR="00517228" w:rsidRDefault="00F62FC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517228" w14:paraId="1F244F5E" w14:textId="77777777" w:rsidTr="002A6360">
        <w:trPr>
          <w:trHeight w:val="155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FA0DAA9" w14:textId="77777777" w:rsidR="00517228" w:rsidRDefault="00517228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8F16108" w14:textId="77777777" w:rsidR="00517228" w:rsidRDefault="00444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517228" w14:paraId="7F486389" w14:textId="77777777" w:rsidTr="002A6360">
        <w:trPr>
          <w:trHeight w:val="218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F058C5C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2E67CA4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Até 10 anos, cfe. art. 107 da Lei 14.133/21</w:t>
            </w:r>
          </w:p>
        </w:tc>
      </w:tr>
      <w:tr w:rsidR="00517228" w14:paraId="459E7739" w14:textId="77777777" w:rsidTr="002A6360">
        <w:trPr>
          <w:trHeight w:val="121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171F754F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CE418F7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Até 35 anos, cfe. inciso I do art. 110 da Lei 14.133/21</w:t>
            </w:r>
          </w:p>
        </w:tc>
      </w:tr>
      <w:tr w:rsidR="00517228" w14:paraId="7EBB5554" w14:textId="77777777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104D40CB" w14:textId="5E3107DF" w:rsidR="00517228" w:rsidRDefault="00F62FCF" w:rsidP="002A6360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2A6360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73C57072" w14:textId="77777777" w:rsidR="00517228" w:rsidRDefault="00F62FCF">
      <w:pPr>
        <w:pStyle w:val="Ttulo1"/>
      </w:pPr>
      <w:r>
        <w:lastRenderedPageBreak/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517228" w14:paraId="26E204C4" w14:textId="77777777" w:rsidTr="002A6360">
        <w:trPr>
          <w:trHeight w:val="116"/>
        </w:trPr>
        <w:tc>
          <w:tcPr>
            <w:tcW w:w="10314" w:type="dxa"/>
            <w:shd w:val="clear" w:color="auto" w:fill="auto"/>
            <w:vAlign w:val="center"/>
          </w:tcPr>
          <w:p w14:paraId="7877CC35" w14:textId="0EADBD6C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total estimado: </w:t>
            </w:r>
            <w:r w:rsidRPr="0044493E">
              <w:rPr>
                <w:b/>
                <w:bCs/>
                <w:sz w:val="16"/>
                <w:szCs w:val="16"/>
              </w:rPr>
              <w:t xml:space="preserve">R$ </w:t>
            </w:r>
            <w:r w:rsidR="003E4193">
              <w:rPr>
                <w:b/>
                <w:bCs/>
                <w:sz w:val="16"/>
                <w:szCs w:val="16"/>
              </w:rPr>
              <w:t>7.483,35</w:t>
            </w:r>
            <w:r w:rsidRPr="0044493E">
              <w:rPr>
                <w:b/>
                <w:bCs/>
                <w:sz w:val="16"/>
                <w:szCs w:val="16"/>
              </w:rPr>
              <w:t>.</w:t>
            </w:r>
          </w:p>
        </w:tc>
      </w:tr>
    </w:tbl>
    <w:p w14:paraId="47DDA241" w14:textId="77777777" w:rsidR="00517228" w:rsidRDefault="00F62FCF">
      <w:pPr>
        <w:pStyle w:val="Ttulo1"/>
      </w:pPr>
      <w:r>
        <w:t>Adequação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517228" w14:paraId="35D6179E" w14:textId="77777777" w:rsidTr="002A6360">
        <w:trPr>
          <w:trHeight w:val="70"/>
        </w:trPr>
        <w:tc>
          <w:tcPr>
            <w:tcW w:w="5778" w:type="dxa"/>
            <w:shd w:val="clear" w:color="auto" w:fill="auto"/>
            <w:vAlign w:val="center"/>
          </w:tcPr>
          <w:p w14:paraId="1CA6634B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44493E"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63BF942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Não se aplica, pois se trata de SRP.</w:t>
            </w:r>
          </w:p>
        </w:tc>
      </w:tr>
    </w:tbl>
    <w:p w14:paraId="7154DC8A" w14:textId="77777777" w:rsidR="00517228" w:rsidRDefault="00F62FCF">
      <w:pPr>
        <w:pStyle w:val="Ttulo1"/>
      </w:pPr>
      <w:r>
        <w:t>Fundamentação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517228" w14:paraId="3C1CC83A" w14:textId="77777777">
        <w:tc>
          <w:tcPr>
            <w:tcW w:w="10314" w:type="dxa"/>
            <w:gridSpan w:val="3"/>
            <w:shd w:val="clear" w:color="auto" w:fill="auto"/>
            <w:vAlign w:val="center"/>
          </w:tcPr>
          <w:p w14:paraId="5F9D99A9" w14:textId="77777777" w:rsidR="00517228" w:rsidRDefault="00F62FCF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Estudo Técnico Preliminar - ETP</w:t>
            </w:r>
          </w:p>
        </w:tc>
      </w:tr>
      <w:tr w:rsidR="00517228" w14:paraId="5DB85333" w14:textId="77777777">
        <w:tc>
          <w:tcPr>
            <w:tcW w:w="3085" w:type="dxa"/>
            <w:shd w:val="clear" w:color="auto" w:fill="auto"/>
            <w:vAlign w:val="center"/>
          </w:tcPr>
          <w:p w14:paraId="373A3F20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 ) 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094713C" w14:textId="3C108996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755CD8" w:rsidRPr="00755CD8"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9C8F6FE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755CD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  <w:u w:val="single"/>
              </w:rPr>
              <w:t>Facultado</w:t>
            </w:r>
            <w:r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035CBF12" w14:textId="77777777" w:rsidR="00517228" w:rsidRDefault="00517228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517228" w14:paraId="5722AA2D" w14:textId="77777777">
        <w:tc>
          <w:tcPr>
            <w:tcW w:w="10314" w:type="dxa"/>
            <w:gridSpan w:val="2"/>
            <w:shd w:val="clear" w:color="auto" w:fill="auto"/>
            <w:vAlign w:val="center"/>
          </w:tcPr>
          <w:p w14:paraId="181ACC77" w14:textId="77777777" w:rsidR="00517228" w:rsidRDefault="00F62FCF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Fundamento(s) de Fato e de Direito</w:t>
            </w:r>
          </w:p>
        </w:tc>
      </w:tr>
      <w:tr w:rsidR="00517228" w14:paraId="4879B9F0" w14:textId="77777777" w:rsidTr="002A6360">
        <w:trPr>
          <w:trHeight w:val="167"/>
        </w:trPr>
        <w:tc>
          <w:tcPr>
            <w:tcW w:w="1668" w:type="dxa"/>
            <w:shd w:val="clear" w:color="auto" w:fill="auto"/>
            <w:vAlign w:val="center"/>
          </w:tcPr>
          <w:p w14:paraId="67E75BFC" w14:textId="77777777" w:rsidR="00517228" w:rsidRPr="00755CD8" w:rsidRDefault="00F62FCF">
            <w:pPr>
              <w:ind w:firstLine="0"/>
              <w:jc w:val="left"/>
              <w:rPr>
                <w:sz w:val="16"/>
                <w:szCs w:val="16"/>
              </w:rPr>
            </w:pPr>
            <w:r w:rsidRPr="00755CD8"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31C0B202" w14:textId="77777777" w:rsidR="00517228" w:rsidRDefault="00755CD8">
            <w:pPr>
              <w:ind w:firstLine="0"/>
              <w:jc w:val="left"/>
              <w:rPr>
                <w:sz w:val="16"/>
                <w:szCs w:val="16"/>
              </w:rPr>
            </w:pPr>
            <w:r w:rsidRPr="00755CD8">
              <w:rPr>
                <w:sz w:val="16"/>
                <w:szCs w:val="16"/>
              </w:rPr>
              <w:t>Lei Federal 14.133/2021 e Decreto Municipal 2.130/2023</w:t>
            </w:r>
          </w:p>
        </w:tc>
      </w:tr>
      <w:tr w:rsidR="00517228" w14:paraId="6F93E622" w14:textId="77777777" w:rsidTr="007605DB">
        <w:trPr>
          <w:trHeight w:val="982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0DF0369" w14:textId="275EC384" w:rsidR="007605DB" w:rsidRDefault="007605DB" w:rsidP="007605DB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A </w:t>
            </w:r>
            <w:r w:rsidR="00F62FCF" w:rsidRPr="00755CD8">
              <w:rPr>
                <w:rFonts w:cs="Tahoma"/>
                <w:sz w:val="16"/>
                <w:szCs w:val="16"/>
              </w:rPr>
              <w:t xml:space="preserve">contratação deste </w:t>
            </w:r>
            <w:r>
              <w:rPr>
                <w:rFonts w:cs="Tahoma"/>
                <w:sz w:val="16"/>
                <w:szCs w:val="16"/>
              </w:rPr>
              <w:t>serviço</w:t>
            </w:r>
            <w:r w:rsidR="00F62FCF" w:rsidRPr="00755CD8">
              <w:rPr>
                <w:rFonts w:cs="Tahoma"/>
                <w:sz w:val="16"/>
                <w:szCs w:val="16"/>
              </w:rPr>
              <w:t xml:space="preserve"> se dará por Processo de Inexigibilidade de Licitação, pois o </w:t>
            </w:r>
            <w:r>
              <w:rPr>
                <w:rFonts w:cs="Tahoma"/>
                <w:sz w:val="16"/>
                <w:szCs w:val="16"/>
              </w:rPr>
              <w:t>mesmo</w:t>
            </w:r>
            <w:r w:rsidR="00F62FCF" w:rsidRPr="00755CD8">
              <w:rPr>
                <w:rFonts w:cs="Tahoma"/>
                <w:sz w:val="16"/>
                <w:szCs w:val="16"/>
              </w:rPr>
              <w:t xml:space="preserve"> est</w:t>
            </w:r>
            <w:r>
              <w:rPr>
                <w:rFonts w:cs="Tahoma"/>
                <w:sz w:val="16"/>
                <w:szCs w:val="16"/>
              </w:rPr>
              <w:t>á</w:t>
            </w:r>
            <w:r w:rsidR="00F62FCF" w:rsidRPr="00755CD8">
              <w:rPr>
                <w:rFonts w:cs="Tahoma"/>
                <w:sz w:val="16"/>
                <w:szCs w:val="16"/>
              </w:rPr>
              <w:t xml:space="preserve"> caracterizado no que rege a </w:t>
            </w:r>
            <w:r>
              <w:rPr>
                <w:rFonts w:cs="Tahoma"/>
                <w:sz w:val="16"/>
                <w:szCs w:val="16"/>
              </w:rPr>
              <w:t>L</w:t>
            </w:r>
            <w:r w:rsidR="00F62FCF" w:rsidRPr="00755CD8">
              <w:rPr>
                <w:rFonts w:cs="Tahoma"/>
                <w:sz w:val="16"/>
                <w:szCs w:val="16"/>
              </w:rPr>
              <w:t>ei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755CD8">
              <w:rPr>
                <w:rFonts w:cs="Tahoma"/>
                <w:sz w:val="16"/>
                <w:szCs w:val="16"/>
              </w:rPr>
              <w:t>14.133/21</w:t>
            </w:r>
            <w:r w:rsidR="002A6360">
              <w:rPr>
                <w:rFonts w:cs="Tahoma"/>
                <w:sz w:val="16"/>
                <w:szCs w:val="16"/>
              </w:rPr>
              <w:t>, no seguinte artigo:</w:t>
            </w:r>
          </w:p>
          <w:p w14:paraId="069270BF" w14:textId="77777777" w:rsidR="007605DB" w:rsidRDefault="007605DB" w:rsidP="007605DB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7605DB">
              <w:rPr>
                <w:rFonts w:cs="Tahoma"/>
                <w:sz w:val="16"/>
                <w:szCs w:val="16"/>
              </w:rPr>
              <w:t>Art. 74. É inexigível a licitação quando inviável a competição, em especial nos casos de:</w:t>
            </w:r>
            <w:bookmarkStart w:id="0" w:name="art74i"/>
            <w:bookmarkEnd w:id="0"/>
            <w:r>
              <w:rPr>
                <w:rFonts w:cs="Tahoma"/>
                <w:sz w:val="16"/>
                <w:szCs w:val="16"/>
              </w:rPr>
              <w:t xml:space="preserve"> </w:t>
            </w:r>
          </w:p>
          <w:p w14:paraId="27729624" w14:textId="77777777" w:rsidR="007605DB" w:rsidRDefault="007605DB" w:rsidP="007605DB">
            <w:pPr>
              <w:spacing w:line="276" w:lineRule="auto"/>
              <w:ind w:hanging="32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 </w:t>
            </w:r>
            <w:r w:rsidRPr="007605DB">
              <w:rPr>
                <w:rFonts w:cs="Tahoma"/>
                <w:sz w:val="16"/>
                <w:szCs w:val="16"/>
              </w:rPr>
              <w:t>I - aquisição de materiais, de equipamentos ou de gêneros ou contratação de serviços que só possam ser fornecidos por produtor, empresa ou</w:t>
            </w:r>
            <w:r>
              <w:rPr>
                <w:rFonts w:cs="Tahoma"/>
                <w:sz w:val="16"/>
                <w:szCs w:val="16"/>
              </w:rPr>
              <w:t xml:space="preserve">    </w:t>
            </w:r>
            <w:r w:rsidRPr="007605DB">
              <w:rPr>
                <w:rFonts w:cs="Tahoma"/>
                <w:sz w:val="16"/>
                <w:szCs w:val="16"/>
              </w:rPr>
              <w:t>representante comercial exclusivos;</w:t>
            </w:r>
          </w:p>
          <w:p w14:paraId="3AFBF933" w14:textId="74F06CE0" w:rsidR="002A6360" w:rsidRPr="00755CD8" w:rsidRDefault="002A6360" w:rsidP="002A6360">
            <w:pPr>
              <w:spacing w:line="276" w:lineRule="auto"/>
              <w:ind w:hanging="32"/>
              <w:rPr>
                <w:rFonts w:cs="Tahoma"/>
                <w:sz w:val="16"/>
                <w:szCs w:val="16"/>
              </w:rPr>
            </w:pPr>
            <w:r w:rsidRPr="00002FF3">
              <w:rPr>
                <w:rFonts w:cs="Tahoma"/>
                <w:sz w:val="16"/>
                <w:szCs w:val="16"/>
                <w:lang w:eastAsia="pt-BR"/>
              </w:rPr>
              <w:t xml:space="preserve">As Câmaras </w:t>
            </w:r>
            <w:r>
              <w:rPr>
                <w:rFonts w:cs="Tahoma"/>
                <w:sz w:val="16"/>
                <w:szCs w:val="16"/>
                <w:lang w:eastAsia="pt-BR"/>
              </w:rPr>
              <w:t xml:space="preserve">de Armazenamento e conservação de vacinas </w:t>
            </w:r>
            <w:r w:rsidRPr="00002FF3">
              <w:rPr>
                <w:rFonts w:cs="Tahoma"/>
                <w:sz w:val="16"/>
                <w:szCs w:val="16"/>
                <w:lang w:eastAsia="pt-BR"/>
              </w:rPr>
              <w:t>estão classificadas junto ao Ministério da Saúde, na Classe II e tem validade de uso indeterminada, portanto</w:t>
            </w:r>
            <w:r>
              <w:rPr>
                <w:rFonts w:cs="Tahoma"/>
                <w:sz w:val="16"/>
                <w:szCs w:val="16"/>
                <w:lang w:eastAsia="pt-BR"/>
              </w:rPr>
              <w:t xml:space="preserve"> </w:t>
            </w:r>
            <w:r w:rsidRPr="00002FF3">
              <w:rPr>
                <w:rFonts w:cs="Tahoma"/>
                <w:sz w:val="16"/>
                <w:szCs w:val="16"/>
                <w:lang w:eastAsia="pt-BR"/>
              </w:rPr>
              <w:t>necessitando de manutenções preventivas anuais e preditivas de acordo com recomendação de cada fabricante. A contratação de empresa sem</w:t>
            </w:r>
            <w:r>
              <w:rPr>
                <w:rFonts w:cs="Tahoma"/>
                <w:sz w:val="16"/>
                <w:szCs w:val="16"/>
                <w:lang w:eastAsia="pt-BR"/>
              </w:rPr>
              <w:t xml:space="preserve"> </w:t>
            </w:r>
            <w:r w:rsidRPr="00002FF3">
              <w:rPr>
                <w:rFonts w:cs="Tahoma"/>
                <w:sz w:val="16"/>
                <w:szCs w:val="16"/>
                <w:lang w:eastAsia="pt-BR"/>
              </w:rPr>
              <w:t>treinamento adequado contraria o disposto pela legislação ordinária, porque a empresa não detém autorização e apuro técnico para intervir no</w:t>
            </w:r>
            <w:r>
              <w:rPr>
                <w:rFonts w:cs="Tahoma"/>
                <w:sz w:val="16"/>
                <w:szCs w:val="16"/>
                <w:lang w:eastAsia="pt-BR"/>
              </w:rPr>
              <w:t xml:space="preserve"> </w:t>
            </w:r>
            <w:r w:rsidRPr="00002FF3">
              <w:rPr>
                <w:rFonts w:cs="Tahoma"/>
                <w:sz w:val="16"/>
                <w:szCs w:val="16"/>
                <w:lang w:eastAsia="pt-BR"/>
              </w:rPr>
              <w:t>equipamento. Somente assistência autorizada BIOTECNO possui autorização para realizar manutenções nos equipamentos de sua marca. Fonte: Lei</w:t>
            </w:r>
            <w:r>
              <w:rPr>
                <w:rFonts w:cs="Tahoma"/>
                <w:sz w:val="16"/>
                <w:szCs w:val="16"/>
                <w:lang w:eastAsia="pt-BR"/>
              </w:rPr>
              <w:t xml:space="preserve"> </w:t>
            </w:r>
            <w:r w:rsidRPr="00002FF3">
              <w:rPr>
                <w:rFonts w:cs="Tahoma"/>
                <w:sz w:val="16"/>
                <w:szCs w:val="16"/>
                <w:lang w:eastAsia="pt-BR"/>
              </w:rPr>
              <w:t>6.437/77, Lei 6.360/76 e RDC 665/2022. PRODUTO: Câmara para conservação de imunobiológicos, hemoderivados e termolábeis. REGISTRO</w:t>
            </w:r>
            <w:r>
              <w:rPr>
                <w:rFonts w:cs="Tahoma"/>
                <w:sz w:val="16"/>
                <w:szCs w:val="16"/>
                <w:lang w:eastAsia="pt-BR"/>
              </w:rPr>
              <w:t xml:space="preserve"> </w:t>
            </w:r>
            <w:r w:rsidRPr="00002FF3">
              <w:rPr>
                <w:rFonts w:cs="Tahoma"/>
                <w:sz w:val="16"/>
                <w:szCs w:val="16"/>
                <w:lang w:eastAsia="pt-BR"/>
              </w:rPr>
              <w:t>ANVISA: 80573310001</w:t>
            </w:r>
            <w:r>
              <w:rPr>
                <w:rFonts w:cs="Tahoma"/>
                <w:sz w:val="16"/>
                <w:szCs w:val="16"/>
                <w:lang w:eastAsia="pt-BR"/>
              </w:rPr>
              <w:t>.</w:t>
            </w:r>
          </w:p>
        </w:tc>
      </w:tr>
    </w:tbl>
    <w:p w14:paraId="17F0A7AE" w14:textId="77777777" w:rsidR="00517228" w:rsidRDefault="00F62FCF">
      <w:pPr>
        <w:pStyle w:val="Ttulo1"/>
      </w:pPr>
      <w:r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517228" w14:paraId="0070743F" w14:textId="77777777" w:rsidTr="00002FF3">
        <w:trPr>
          <w:trHeight w:val="1447"/>
        </w:trPr>
        <w:tc>
          <w:tcPr>
            <w:tcW w:w="10314" w:type="dxa"/>
            <w:shd w:val="clear" w:color="auto" w:fill="auto"/>
            <w:vAlign w:val="center"/>
          </w:tcPr>
          <w:p w14:paraId="4F3A08CD" w14:textId="73F3F193" w:rsidR="00517228" w:rsidRDefault="00C1778F" w:rsidP="002A6360">
            <w:pPr>
              <w:autoSpaceDE w:val="0"/>
              <w:autoSpaceDN w:val="0"/>
              <w:adjustRightInd w:val="0"/>
              <w:spacing w:after="0" w:line="276" w:lineRule="auto"/>
              <w:ind w:firstLine="0"/>
              <w:contextualSpacing w:val="0"/>
              <w:rPr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lang w:eastAsia="pt-BR"/>
              </w:rPr>
              <w:t>A contratação de empresa para prestação dos serviços de manutenção corretiva das câmaras de armazenamento de vacinas dos postos de saúde, recalibração do controlador de temperatura e revisão do sistema eletrônico, de refrigeração e estrutural do equipamento, se dá por meio da classificação</w:t>
            </w:r>
            <w:r w:rsidR="00002FF3" w:rsidRPr="00002FF3">
              <w:rPr>
                <w:rFonts w:cs="Tahoma"/>
                <w:sz w:val="16"/>
                <w:szCs w:val="16"/>
                <w:lang w:eastAsia="pt-BR"/>
              </w:rPr>
              <w:t xml:space="preserve"> junto ao Ministério da Saúde,</w:t>
            </w:r>
            <w:r>
              <w:rPr>
                <w:rFonts w:cs="Tahoma"/>
                <w:sz w:val="16"/>
                <w:szCs w:val="16"/>
                <w:lang w:eastAsia="pt-BR"/>
              </w:rPr>
              <w:t xml:space="preserve"> onde, tais câmaras de armazenamento constam </w:t>
            </w:r>
            <w:r w:rsidR="00002FF3" w:rsidRPr="00002FF3">
              <w:rPr>
                <w:rFonts w:cs="Tahoma"/>
                <w:sz w:val="16"/>
                <w:szCs w:val="16"/>
                <w:lang w:eastAsia="pt-BR"/>
              </w:rPr>
              <w:t>na Classe II e tem validade de uso indeterminada, portanto</w:t>
            </w:r>
            <w:r w:rsidR="002A6360">
              <w:rPr>
                <w:rFonts w:cs="Tahoma"/>
                <w:sz w:val="16"/>
                <w:szCs w:val="16"/>
                <w:lang w:eastAsia="pt-BR"/>
              </w:rPr>
              <w:t xml:space="preserve"> </w:t>
            </w:r>
            <w:r w:rsidR="00002FF3" w:rsidRPr="00002FF3">
              <w:rPr>
                <w:rFonts w:cs="Tahoma"/>
                <w:sz w:val="16"/>
                <w:szCs w:val="16"/>
                <w:lang w:eastAsia="pt-BR"/>
              </w:rPr>
              <w:t>necessitando de manutenções preventivas anuais e preditivas de acordo com recomendação de cada fabricante. A contratação de empresa sem</w:t>
            </w:r>
            <w:r w:rsidR="002A6360">
              <w:rPr>
                <w:rFonts w:cs="Tahoma"/>
                <w:sz w:val="16"/>
                <w:szCs w:val="16"/>
                <w:lang w:eastAsia="pt-BR"/>
              </w:rPr>
              <w:t xml:space="preserve"> </w:t>
            </w:r>
            <w:r w:rsidR="00002FF3" w:rsidRPr="00002FF3">
              <w:rPr>
                <w:rFonts w:cs="Tahoma"/>
                <w:sz w:val="16"/>
                <w:szCs w:val="16"/>
                <w:lang w:eastAsia="pt-BR"/>
              </w:rPr>
              <w:t>treinamento adequado contraria o disposto pela legislação ordinária, porque a empresa não detém autorização e apuro técnico para intervir no</w:t>
            </w:r>
            <w:r w:rsidR="002A6360">
              <w:rPr>
                <w:rFonts w:cs="Tahoma"/>
                <w:sz w:val="16"/>
                <w:szCs w:val="16"/>
                <w:lang w:eastAsia="pt-BR"/>
              </w:rPr>
              <w:t xml:space="preserve"> </w:t>
            </w:r>
            <w:r w:rsidR="00002FF3" w:rsidRPr="00002FF3">
              <w:rPr>
                <w:rFonts w:cs="Tahoma"/>
                <w:sz w:val="16"/>
                <w:szCs w:val="16"/>
                <w:lang w:eastAsia="pt-BR"/>
              </w:rPr>
              <w:t>equipamento. Somente assistência autorizada BIOTECNO possui autorização para realizar manutenções nos equipamentos de sua marca. Fonte: Lei</w:t>
            </w:r>
            <w:r w:rsidR="00002FF3">
              <w:rPr>
                <w:rFonts w:cs="Tahoma"/>
                <w:sz w:val="16"/>
                <w:szCs w:val="16"/>
                <w:lang w:eastAsia="pt-BR"/>
              </w:rPr>
              <w:t xml:space="preserve"> </w:t>
            </w:r>
            <w:r w:rsidR="00002FF3" w:rsidRPr="00002FF3">
              <w:rPr>
                <w:rFonts w:cs="Tahoma"/>
                <w:sz w:val="16"/>
                <w:szCs w:val="16"/>
                <w:lang w:eastAsia="pt-BR"/>
              </w:rPr>
              <w:t>6.437/77, Lei 6.360/76 e RDC 665/2022. PRODUTO: Câmara para conservação de imunobiológicos, hemoderivados e termolábeis. REGISTRO</w:t>
            </w:r>
            <w:r w:rsidR="002A6360">
              <w:rPr>
                <w:rFonts w:cs="Tahoma"/>
                <w:sz w:val="16"/>
                <w:szCs w:val="16"/>
                <w:lang w:eastAsia="pt-BR"/>
              </w:rPr>
              <w:t xml:space="preserve"> </w:t>
            </w:r>
            <w:r w:rsidR="00002FF3" w:rsidRPr="00002FF3">
              <w:rPr>
                <w:rFonts w:cs="Tahoma"/>
                <w:sz w:val="16"/>
                <w:szCs w:val="16"/>
                <w:lang w:eastAsia="pt-BR"/>
              </w:rPr>
              <w:t>ANVISA: 80573310001".</w:t>
            </w:r>
          </w:p>
        </w:tc>
      </w:tr>
    </w:tbl>
    <w:p w14:paraId="75284B35" w14:textId="77777777" w:rsidR="00517228" w:rsidRDefault="00F62FCF">
      <w:pPr>
        <w:pStyle w:val="Ttulo1"/>
      </w:pPr>
      <w: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517228" w14:paraId="29EABAC8" w14:textId="77777777" w:rsidTr="002A6360">
        <w:trPr>
          <w:trHeight w:val="1371"/>
        </w:trPr>
        <w:tc>
          <w:tcPr>
            <w:tcW w:w="10314" w:type="dxa"/>
            <w:shd w:val="clear" w:color="auto" w:fill="auto"/>
            <w:vAlign w:val="center"/>
          </w:tcPr>
          <w:p w14:paraId="25DA248C" w14:textId="7AF08FD8" w:rsidR="00755CD8" w:rsidRPr="00FB40FA" w:rsidRDefault="00B05584" w:rsidP="00FB40FA">
            <w:pPr>
              <w:autoSpaceDE w:val="0"/>
              <w:autoSpaceDN w:val="0"/>
              <w:adjustRightInd w:val="0"/>
              <w:spacing w:after="0" w:line="276" w:lineRule="auto"/>
              <w:ind w:firstLine="0"/>
              <w:contextualSpacing w:val="0"/>
              <w:jc w:val="left"/>
              <w:rPr>
                <w:rFonts w:cs="Tahoma"/>
                <w:sz w:val="16"/>
                <w:szCs w:val="16"/>
                <w:lang w:eastAsia="pt-BR"/>
              </w:rPr>
            </w:pPr>
            <w:r>
              <w:rPr>
                <w:rFonts w:cs="Tahoma"/>
                <w:sz w:val="16"/>
                <w:szCs w:val="16"/>
                <w:lang w:eastAsia="pt-BR"/>
              </w:rPr>
              <w:t>- Manutenção Corretiva</w:t>
            </w:r>
            <w:r w:rsidR="00755CD8" w:rsidRPr="00FB40FA">
              <w:rPr>
                <w:rFonts w:cs="Tahoma"/>
                <w:sz w:val="16"/>
                <w:szCs w:val="16"/>
                <w:lang w:eastAsia="pt-BR"/>
              </w:rPr>
              <w:t xml:space="preserve"> </w:t>
            </w:r>
          </w:p>
          <w:p w14:paraId="1834E135" w14:textId="34BB9EEC" w:rsidR="00FB40FA" w:rsidRDefault="00FB40FA" w:rsidP="00FB40FA">
            <w:pPr>
              <w:autoSpaceDE w:val="0"/>
              <w:autoSpaceDN w:val="0"/>
              <w:adjustRightInd w:val="0"/>
              <w:spacing w:after="0" w:line="276" w:lineRule="auto"/>
              <w:ind w:firstLine="0"/>
              <w:contextualSpacing w:val="0"/>
              <w:jc w:val="left"/>
              <w:rPr>
                <w:rFonts w:cs="Tahoma"/>
                <w:sz w:val="16"/>
                <w:szCs w:val="16"/>
                <w:lang w:eastAsia="pt-BR"/>
              </w:rPr>
            </w:pPr>
            <w:r w:rsidRPr="00FB40FA">
              <w:rPr>
                <w:rFonts w:cs="Tahoma"/>
                <w:b/>
                <w:bCs/>
                <w:sz w:val="16"/>
                <w:szCs w:val="16"/>
                <w:lang w:eastAsia="pt-BR"/>
              </w:rPr>
              <w:t>-</w:t>
            </w:r>
            <w:r>
              <w:rPr>
                <w:rFonts w:cs="Tahoma"/>
                <w:sz w:val="16"/>
                <w:szCs w:val="16"/>
                <w:lang w:eastAsia="pt-BR"/>
              </w:rPr>
              <w:t xml:space="preserve"> Apresentar</w:t>
            </w:r>
            <w:r w:rsidR="00755CD8" w:rsidRPr="00FB40FA">
              <w:rPr>
                <w:rFonts w:cs="Tahoma"/>
                <w:sz w:val="16"/>
                <w:szCs w:val="16"/>
                <w:lang w:eastAsia="pt-BR"/>
              </w:rPr>
              <w:t xml:space="preserve"> todos os Documentos de Habilitação solicitados, dentro da validade e devidamente regularizados, conforme padrão adotado em todas as Inexigibilidades de Licitação</w:t>
            </w:r>
            <w:r w:rsidR="00C1778F">
              <w:rPr>
                <w:rFonts w:cs="Tahoma"/>
                <w:sz w:val="16"/>
                <w:szCs w:val="16"/>
                <w:lang w:eastAsia="pt-BR"/>
              </w:rPr>
              <w:t xml:space="preserve"> e Lei 14.133/2021.</w:t>
            </w:r>
          </w:p>
          <w:p w14:paraId="3FB078CF" w14:textId="77777777" w:rsidR="00FB40FA" w:rsidRPr="00FB40FA" w:rsidRDefault="00FB40FA" w:rsidP="00FB40FA">
            <w:pPr>
              <w:autoSpaceDE w:val="0"/>
              <w:autoSpaceDN w:val="0"/>
              <w:adjustRightInd w:val="0"/>
              <w:spacing w:after="0" w:line="276" w:lineRule="auto"/>
              <w:ind w:firstLine="0"/>
              <w:contextualSpacing w:val="0"/>
              <w:jc w:val="left"/>
              <w:rPr>
                <w:rFonts w:cs="Tahoma"/>
                <w:sz w:val="16"/>
                <w:szCs w:val="16"/>
                <w:lang w:eastAsia="pt-BR"/>
              </w:rPr>
            </w:pPr>
            <w:r w:rsidRPr="00FB40FA">
              <w:rPr>
                <w:rFonts w:cs="Tahoma"/>
                <w:sz w:val="16"/>
                <w:szCs w:val="16"/>
                <w:lang w:eastAsia="pt-BR"/>
              </w:rPr>
              <w:t>- Realizar a entrega nos quantitativos, prazos e loca</w:t>
            </w:r>
            <w:r>
              <w:rPr>
                <w:rFonts w:cs="Tahoma"/>
                <w:sz w:val="16"/>
                <w:szCs w:val="16"/>
                <w:lang w:eastAsia="pt-BR"/>
              </w:rPr>
              <w:t>is</w:t>
            </w:r>
            <w:r w:rsidRPr="00FB40FA">
              <w:rPr>
                <w:rFonts w:cs="Tahoma"/>
                <w:sz w:val="16"/>
                <w:szCs w:val="16"/>
                <w:lang w:eastAsia="pt-BR"/>
              </w:rPr>
              <w:t xml:space="preserve"> solicitado</w:t>
            </w:r>
            <w:r>
              <w:rPr>
                <w:rFonts w:cs="Tahoma"/>
                <w:sz w:val="16"/>
                <w:szCs w:val="16"/>
                <w:lang w:eastAsia="pt-BR"/>
              </w:rPr>
              <w:t>s</w:t>
            </w:r>
            <w:r w:rsidRPr="00FB40FA">
              <w:rPr>
                <w:rFonts w:cs="Tahoma"/>
                <w:sz w:val="16"/>
                <w:szCs w:val="16"/>
                <w:lang w:eastAsia="pt-BR"/>
              </w:rPr>
              <w:t xml:space="preserve"> </w:t>
            </w:r>
            <w:r>
              <w:rPr>
                <w:rFonts w:cs="Tahoma"/>
                <w:sz w:val="16"/>
                <w:szCs w:val="16"/>
                <w:lang w:eastAsia="pt-BR"/>
              </w:rPr>
              <w:t>na</w:t>
            </w:r>
            <w:r w:rsidRPr="00FB40FA">
              <w:rPr>
                <w:rFonts w:cs="Tahoma"/>
                <w:sz w:val="16"/>
                <w:szCs w:val="16"/>
                <w:lang w:eastAsia="pt-BR"/>
              </w:rPr>
              <w:t xml:space="preserve"> ordem de compra/empenho;</w:t>
            </w:r>
          </w:p>
          <w:p w14:paraId="70176CC5" w14:textId="77777777" w:rsidR="00FB40FA" w:rsidRPr="00FB40FA" w:rsidRDefault="00FB40FA" w:rsidP="00FB40FA">
            <w:pPr>
              <w:autoSpaceDE w:val="0"/>
              <w:autoSpaceDN w:val="0"/>
              <w:adjustRightInd w:val="0"/>
              <w:spacing w:after="0" w:line="276" w:lineRule="auto"/>
              <w:ind w:firstLine="0"/>
              <w:contextualSpacing w:val="0"/>
              <w:jc w:val="left"/>
              <w:rPr>
                <w:rFonts w:cs="Tahoma"/>
                <w:sz w:val="16"/>
                <w:szCs w:val="16"/>
                <w:lang w:eastAsia="pt-BR"/>
              </w:rPr>
            </w:pPr>
            <w:r w:rsidRPr="00FB40FA">
              <w:rPr>
                <w:rFonts w:cs="Tahoma"/>
                <w:sz w:val="16"/>
                <w:szCs w:val="16"/>
                <w:lang w:eastAsia="pt-BR"/>
              </w:rPr>
              <w:t>- Indicar o número da Ordem de Compra na Nota Fiscal;</w:t>
            </w:r>
          </w:p>
          <w:p w14:paraId="4DB4BE06" w14:textId="7FB4D4CF" w:rsidR="00517228" w:rsidRPr="00FB40FA" w:rsidRDefault="00FB40FA" w:rsidP="00FB40FA">
            <w:pPr>
              <w:autoSpaceDE w:val="0"/>
              <w:autoSpaceDN w:val="0"/>
              <w:adjustRightInd w:val="0"/>
              <w:spacing w:after="0" w:line="276" w:lineRule="auto"/>
              <w:ind w:firstLine="0"/>
              <w:contextualSpacing w:val="0"/>
              <w:jc w:val="left"/>
              <w:rPr>
                <w:rFonts w:cs="Tahoma"/>
                <w:sz w:val="16"/>
                <w:szCs w:val="16"/>
                <w:lang w:eastAsia="pt-BR"/>
              </w:rPr>
            </w:pPr>
            <w:r w:rsidRPr="00FB40FA">
              <w:rPr>
                <w:rFonts w:cs="Tahoma"/>
                <w:sz w:val="16"/>
                <w:szCs w:val="16"/>
                <w:lang w:eastAsia="pt-BR"/>
              </w:rPr>
              <w:t xml:space="preserve">- </w:t>
            </w:r>
            <w:r>
              <w:rPr>
                <w:rFonts w:cs="Tahoma"/>
                <w:sz w:val="16"/>
                <w:szCs w:val="16"/>
                <w:lang w:eastAsia="pt-BR"/>
              </w:rPr>
              <w:t>Prestar o serviço</w:t>
            </w:r>
            <w:r w:rsidRPr="00FB40FA">
              <w:rPr>
                <w:rFonts w:cs="Tahoma"/>
                <w:sz w:val="16"/>
                <w:szCs w:val="16"/>
                <w:lang w:eastAsia="pt-BR"/>
              </w:rPr>
              <w:t xml:space="preserve"> dentro de padrões de qualidade</w:t>
            </w:r>
            <w:r w:rsidR="00C1778F">
              <w:rPr>
                <w:rFonts w:cs="Tahoma"/>
                <w:sz w:val="16"/>
                <w:szCs w:val="16"/>
                <w:lang w:eastAsia="pt-BR"/>
              </w:rPr>
              <w:t xml:space="preserve"> e requisitos exigidos no termo de referência;</w:t>
            </w:r>
          </w:p>
        </w:tc>
      </w:tr>
    </w:tbl>
    <w:p w14:paraId="2D0C52E3" w14:textId="77777777" w:rsidR="00517228" w:rsidRDefault="00F62FCF">
      <w:pPr>
        <w:pStyle w:val="Ttulo1"/>
      </w:pPr>
      <w: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454"/>
        <w:gridCol w:w="963"/>
        <w:gridCol w:w="2977"/>
        <w:gridCol w:w="1417"/>
      </w:tblGrid>
      <w:tr w:rsidR="00517228" w14:paraId="119EA45B" w14:textId="77777777" w:rsidTr="004A1332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D4AC33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4A1332"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DF0349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Proc. Adm. de Pré-Qualificação: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8DCA6F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BBFAC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 ) 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14D791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</w:tr>
      <w:tr w:rsidR="00517228" w14:paraId="15C71AF8" w14:textId="77777777" w:rsidTr="004A1332">
        <w:trPr>
          <w:trHeight w:val="137"/>
        </w:trPr>
        <w:tc>
          <w:tcPr>
            <w:tcW w:w="4957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3DFE6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Sim - Justificar item(ns) e escolha(s) da(s) marca(s) abaixo:</w:t>
            </w:r>
          </w:p>
        </w:tc>
        <w:tc>
          <w:tcPr>
            <w:tcW w:w="5357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812DCF" w14:textId="77777777" w:rsidR="00517228" w:rsidRDefault="00517228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14:paraId="12625B7C" w14:textId="77777777" w:rsidR="00517228" w:rsidRDefault="00F62FCF">
      <w:pPr>
        <w:pStyle w:val="Ttulo1"/>
      </w:pPr>
      <w:r>
        <w:t>Execução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517228" w14:paraId="39C0C690" w14:textId="77777777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25C7125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4A133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F6D9520" w14:textId="01F5E935" w:rsidR="00517228" w:rsidRPr="002A6360" w:rsidRDefault="00F62FCF">
            <w:pPr>
              <w:ind w:firstLine="0"/>
              <w:rPr>
                <w:b/>
                <w:bCs/>
                <w:sz w:val="16"/>
                <w:szCs w:val="16"/>
              </w:rPr>
            </w:pPr>
            <w:r w:rsidRPr="002A6360">
              <w:rPr>
                <w:b/>
                <w:bCs/>
                <w:sz w:val="16"/>
                <w:szCs w:val="16"/>
              </w:rPr>
              <w:t>(</w:t>
            </w:r>
            <w:r w:rsidR="002A6360" w:rsidRPr="002A6360">
              <w:rPr>
                <w:b/>
                <w:bCs/>
                <w:sz w:val="16"/>
                <w:szCs w:val="16"/>
              </w:rPr>
              <w:t>x</w:t>
            </w:r>
            <w:r w:rsidRPr="002A6360">
              <w:rPr>
                <w:b/>
                <w:bCs/>
                <w:sz w:val="16"/>
                <w:szCs w:val="16"/>
              </w:rPr>
              <w:t>) 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9FEA9B0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 ) Fornecimento e prestação de serviço associado </w:t>
            </w:r>
          </w:p>
        </w:tc>
      </w:tr>
      <w:tr w:rsidR="00517228" w14:paraId="710F5994" w14:textId="77777777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338E6572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Contratação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8D685CD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Contratação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8D7FCF0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Contratação semi-integrada</w:t>
            </w:r>
          </w:p>
        </w:tc>
      </w:tr>
      <w:tr w:rsidR="00517228" w14:paraId="37C93F4F" w14:textId="77777777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C6D29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24BB67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361B7B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Empreitada integral</w:t>
            </w:r>
          </w:p>
        </w:tc>
      </w:tr>
      <w:tr w:rsidR="00517228" w14:paraId="002356C6" w14:textId="77777777" w:rsidTr="002A6360">
        <w:trPr>
          <w:trHeight w:val="1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3E8E9CD4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</w:t>
            </w:r>
            <w:r w:rsidR="004A1332" w:rsidRPr="004A1332"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 ) Outro (Especificar abaixo):</w:t>
            </w:r>
            <w:r w:rsidR="004A1332">
              <w:rPr>
                <w:sz w:val="16"/>
                <w:szCs w:val="16"/>
              </w:rPr>
              <w:t xml:space="preserve"> </w:t>
            </w:r>
            <w:r w:rsidR="004A1332" w:rsidRPr="004A1332">
              <w:rPr>
                <w:sz w:val="16"/>
                <w:szCs w:val="16"/>
              </w:rPr>
              <w:t>Prestação de serviço.</w:t>
            </w:r>
          </w:p>
        </w:tc>
      </w:tr>
    </w:tbl>
    <w:p w14:paraId="66C490AA" w14:textId="77777777" w:rsidR="00517228" w:rsidRDefault="00F62FCF">
      <w:pPr>
        <w:pStyle w:val="Ttulo1"/>
      </w:pPr>
      <w:r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517228" w14:paraId="61303354" w14:textId="77777777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DEEC671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6C3FA880" w14:textId="6DB5182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997671" w:rsidRPr="00997671"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Cfe. descrito abaixo:</w:t>
            </w:r>
          </w:p>
        </w:tc>
      </w:tr>
      <w:tr w:rsidR="00517228" w14:paraId="74CAB597" w14:textId="77777777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112E0F09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a) O Município exercerá ampla e irrestrita fiscalização na execução objeto contratado, a qualquer hora, por meio do(s) gestor(es) e/ou fiscal(is) indicados.</w:t>
            </w:r>
          </w:p>
          <w:p w14:paraId="2F0386DD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(Whatsapp®, Telegram®, Signal®, entre outros), entregues pessoalmente, ou ainda, mediante correspondência registrada.</w:t>
            </w:r>
          </w:p>
          <w:p w14:paraId="3559A7C6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4B862874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  <w:r>
              <w:t xml:space="preserve"> </w:t>
            </w:r>
            <w:r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</w:tc>
      </w:tr>
      <w:tr w:rsidR="00517228" w14:paraId="262E5118" w14:textId="77777777">
        <w:trPr>
          <w:trHeight w:val="62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1FA55EB0" w14:textId="77777777" w:rsidR="00517228" w:rsidRDefault="00F62FCF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lastRenderedPageBreak/>
              <w:t xml:space="preserve">Obs.: </w:t>
            </w:r>
            <w:r>
              <w:rPr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fiscal(is) de contrato(s) estão dispostas nos arts. 20 à 26 do Decreto Municipal 2.130/23.</w:t>
            </w:r>
          </w:p>
        </w:tc>
      </w:tr>
    </w:tbl>
    <w:p w14:paraId="59E9C050" w14:textId="77777777" w:rsidR="00517228" w:rsidRDefault="00517228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517228" w14:paraId="0E802ABF" w14:textId="77777777">
        <w:tc>
          <w:tcPr>
            <w:tcW w:w="10314" w:type="dxa"/>
            <w:shd w:val="clear" w:color="auto" w:fill="auto"/>
            <w:vAlign w:val="center"/>
          </w:tcPr>
          <w:p w14:paraId="7783988C" w14:textId="77777777" w:rsidR="00517228" w:rsidRDefault="00F62FCF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Designação do(s) Gestor(es) e/ou Fiscal(is) de Contrato(s)</w:t>
            </w:r>
          </w:p>
        </w:tc>
      </w:tr>
      <w:tr w:rsidR="00517228" w14:paraId="76978A92" w14:textId="77777777">
        <w:tc>
          <w:tcPr>
            <w:tcW w:w="10314" w:type="dxa"/>
            <w:shd w:val="clear" w:color="auto" w:fill="auto"/>
            <w:vAlign w:val="center"/>
          </w:tcPr>
          <w:p w14:paraId="65F4ACD6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</w:t>
            </w:r>
            <w:r w:rsidR="00997671" w:rsidRPr="00997671"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 ) Cfe. disponível no processo, visto que o(s) gestor(es) e/ou fiscais de contrato(s) estão identificados no termo de designação específico.  </w:t>
            </w:r>
          </w:p>
        </w:tc>
      </w:tr>
    </w:tbl>
    <w:p w14:paraId="2EABF468" w14:textId="77777777" w:rsidR="00517228" w:rsidRDefault="00F62FCF">
      <w:pPr>
        <w:pStyle w:val="Ttulo1"/>
      </w:pPr>
      <w:r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938"/>
      </w:tblGrid>
      <w:tr w:rsidR="00517228" w14:paraId="5016D812" w14:textId="77777777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15CC0CE1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Não se aplica</w:t>
            </w:r>
          </w:p>
        </w:tc>
      </w:tr>
      <w:tr w:rsidR="00517228" w14:paraId="29B6A375" w14:textId="77777777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176C1D8F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997671"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) Em caso de </w:t>
            </w:r>
            <w:r>
              <w:rPr>
                <w:b/>
                <w:bCs/>
                <w:sz w:val="16"/>
                <w:szCs w:val="16"/>
              </w:rPr>
              <w:t>fornecimento de bens e/ou prestação de serviços</w:t>
            </w:r>
            <w:r>
              <w:rPr>
                <w:sz w:val="16"/>
                <w:szCs w:val="16"/>
              </w:rPr>
              <w:t xml:space="preserve">, atestado o recebimento provisório do objeto pelo(s) fiscal(is), o pagamento se dará </w:t>
            </w:r>
            <w:r>
              <w:rPr>
                <w:b/>
                <w:bCs/>
                <w:sz w:val="16"/>
                <w:szCs w:val="16"/>
              </w:rPr>
              <w:t>em até 10 dias úteis</w:t>
            </w:r>
            <w:r>
              <w:rPr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517228" w14:paraId="2AD15DA0" w14:textId="77777777" w:rsidTr="00997671">
        <w:trPr>
          <w:trHeight w:val="194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A9954C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 ) Em caso de </w:t>
            </w:r>
            <w:r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517228" w14:paraId="568F799D" w14:textId="77777777" w:rsidTr="00997671">
        <w:trPr>
          <w:trHeight w:val="137"/>
        </w:trPr>
        <w:tc>
          <w:tcPr>
            <w:tcW w:w="23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194DF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Outro (Especificar abaixo):</w:t>
            </w:r>
          </w:p>
        </w:tc>
        <w:tc>
          <w:tcPr>
            <w:tcW w:w="79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B90F60" w14:textId="77777777" w:rsidR="00517228" w:rsidRDefault="00517228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14:paraId="59396E87" w14:textId="77777777" w:rsidR="00517228" w:rsidRDefault="00F62FCF">
      <w:pPr>
        <w:pStyle w:val="Ttulo1"/>
      </w:pPr>
      <w: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517228" w14:paraId="64953BFD" w14:textId="77777777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0B5204F7" w14:textId="77777777" w:rsidR="00517228" w:rsidRDefault="00F62FCF" w:rsidP="002A636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517228" w14:paraId="085B5AA0" w14:textId="77777777" w:rsidTr="002A6360">
        <w:trPr>
          <w:trHeight w:val="70"/>
        </w:trPr>
        <w:tc>
          <w:tcPr>
            <w:tcW w:w="3227" w:type="dxa"/>
            <w:shd w:val="clear" w:color="auto" w:fill="auto"/>
            <w:vAlign w:val="center"/>
          </w:tcPr>
          <w:p w14:paraId="4C2B44F5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30141FF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Maior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24DA90E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</w:t>
            </w:r>
            <w:r w:rsidR="0099767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) Técnica e Preço</w:t>
            </w:r>
          </w:p>
        </w:tc>
      </w:tr>
      <w:tr w:rsidR="00517228" w14:paraId="4E05BB78" w14:textId="77777777" w:rsidTr="002A6360">
        <w:trPr>
          <w:trHeight w:val="119"/>
        </w:trPr>
        <w:tc>
          <w:tcPr>
            <w:tcW w:w="3227" w:type="dxa"/>
            <w:shd w:val="clear" w:color="auto" w:fill="auto"/>
            <w:vAlign w:val="center"/>
          </w:tcPr>
          <w:p w14:paraId="33B06C1D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Melhor Técnica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2307306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Melhor Conteúdo Artístico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7B96287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Maior Retorno Econômico</w:t>
            </w:r>
          </w:p>
        </w:tc>
      </w:tr>
      <w:tr w:rsidR="00997671" w14:paraId="0D3B33F4" w14:textId="77777777" w:rsidTr="002A6360">
        <w:trPr>
          <w:trHeight w:val="7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4CF5D00C" w14:textId="10947A1C" w:rsidR="00997671" w:rsidRDefault="00997671">
            <w:pPr>
              <w:ind w:firstLine="0"/>
              <w:rPr>
                <w:sz w:val="16"/>
                <w:szCs w:val="16"/>
              </w:rPr>
            </w:pPr>
            <w:r w:rsidRPr="00997671">
              <w:rPr>
                <w:sz w:val="16"/>
                <w:szCs w:val="16"/>
              </w:rPr>
              <w:t>(</w:t>
            </w:r>
            <w:r w:rsidRPr="00997671">
              <w:rPr>
                <w:b/>
                <w:bCs/>
                <w:sz w:val="16"/>
                <w:szCs w:val="16"/>
              </w:rPr>
              <w:t>X</w:t>
            </w:r>
            <w:r w:rsidRPr="00997671">
              <w:rPr>
                <w:sz w:val="16"/>
                <w:szCs w:val="16"/>
              </w:rPr>
              <w:t>) Não se aplica por se tratar de Inexigibilidade.</w:t>
            </w:r>
            <w:r w:rsidR="002A6360">
              <w:rPr>
                <w:sz w:val="16"/>
                <w:szCs w:val="16"/>
              </w:rPr>
              <w:t xml:space="preserve"> – Conf. Justificativa do Preço e Razão da Escolha do Fornecedor</w:t>
            </w:r>
          </w:p>
        </w:tc>
      </w:tr>
    </w:tbl>
    <w:p w14:paraId="3344D814" w14:textId="77777777" w:rsidR="00517228" w:rsidRDefault="00517228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517228" w14:paraId="07C4BC84" w14:textId="77777777">
        <w:tc>
          <w:tcPr>
            <w:tcW w:w="10314" w:type="dxa"/>
            <w:gridSpan w:val="3"/>
            <w:shd w:val="clear" w:color="auto" w:fill="auto"/>
            <w:vAlign w:val="center"/>
          </w:tcPr>
          <w:p w14:paraId="73225932" w14:textId="77777777" w:rsidR="00517228" w:rsidRDefault="00F62FCF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Qualificação(ões) Técnica(s) do(s) Fornecedor(es) e/ou Objeto(s)</w:t>
            </w:r>
          </w:p>
        </w:tc>
      </w:tr>
      <w:tr w:rsidR="00517228" w14:paraId="4F42125F" w14:textId="77777777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80D66B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AE7EC4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E759B1"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Sim, cfe. detalhado abaixo</w:t>
            </w:r>
          </w:p>
        </w:tc>
      </w:tr>
      <w:tr w:rsidR="00517228" w14:paraId="7EB1A320" w14:textId="77777777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4C7B94E" w14:textId="77777777" w:rsidR="00517228" w:rsidRDefault="00F62FCF" w:rsidP="00997671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Descrever as qualificações técnico-profissionais e/ou técnico-operacionais exigidas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D1CA34D" w14:textId="77777777" w:rsidR="00517228" w:rsidRDefault="00517228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517228" w14:paraId="505053DE" w14:textId="77777777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7FCC0107" w14:textId="20E7BB64" w:rsidR="00517228" w:rsidRDefault="00F62FCF" w:rsidP="00997671">
            <w:pPr>
              <w:spacing w:line="276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Registro na Anvisa</w:t>
            </w:r>
            <w:r w:rsidR="002A6360">
              <w:rPr>
                <w:sz w:val="16"/>
                <w:szCs w:val="16"/>
              </w:rPr>
              <w:t xml:space="preserve">, por ter </w:t>
            </w:r>
            <w:r>
              <w:rPr>
                <w:sz w:val="16"/>
                <w:szCs w:val="16"/>
              </w:rPr>
              <w:t>exclusividade na prestação de serviços de assistência técnica para câmara de conservação de imunobiológicos</w:t>
            </w:r>
            <w:r w:rsidR="00997671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hemoderivados</w:t>
            </w:r>
            <w:r w:rsidR="00997671">
              <w:rPr>
                <w:sz w:val="16"/>
                <w:szCs w:val="16"/>
              </w:rPr>
              <w:t xml:space="preserve"> e</w:t>
            </w:r>
            <w:r>
              <w:rPr>
                <w:sz w:val="16"/>
                <w:szCs w:val="16"/>
              </w:rPr>
              <w:t xml:space="preserve"> termolábeis.</w:t>
            </w:r>
          </w:p>
        </w:tc>
      </w:tr>
    </w:tbl>
    <w:p w14:paraId="34AE3BE6" w14:textId="77777777" w:rsidR="00517228" w:rsidRDefault="00517228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517228" w14:paraId="02047305" w14:textId="77777777">
        <w:tc>
          <w:tcPr>
            <w:tcW w:w="10314" w:type="dxa"/>
            <w:gridSpan w:val="3"/>
            <w:shd w:val="clear" w:color="auto" w:fill="auto"/>
            <w:vAlign w:val="center"/>
          </w:tcPr>
          <w:p w14:paraId="1B3CAEA3" w14:textId="77777777" w:rsidR="00517228" w:rsidRDefault="00F62FCF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 Econômico-financeira(s)</w:t>
            </w:r>
          </w:p>
        </w:tc>
      </w:tr>
      <w:tr w:rsidR="00517228" w14:paraId="628EB8B4" w14:textId="77777777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BD2515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997671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4A586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997671" w:rsidRPr="00997671"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Sim, cfe. detalhado abaixo</w:t>
            </w:r>
          </w:p>
        </w:tc>
      </w:tr>
      <w:tr w:rsidR="00517228" w14:paraId="2BCC382B" w14:textId="77777777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1850C5FB" w14:textId="77777777" w:rsidR="00517228" w:rsidRDefault="00F62FCF" w:rsidP="00997671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Descrever as qualificações econômico-financeiras exigidas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DC7F9EF" w14:textId="77777777" w:rsidR="00517228" w:rsidRDefault="00517228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517228" w14:paraId="3A46ED57" w14:textId="77777777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5493844A" w14:textId="77777777" w:rsidR="00517228" w:rsidRDefault="00997671" w:rsidP="00997671">
            <w:pPr>
              <w:spacing w:line="276" w:lineRule="auto"/>
              <w:ind w:firstLine="0"/>
              <w:rPr>
                <w:sz w:val="16"/>
                <w:szCs w:val="16"/>
              </w:rPr>
            </w:pPr>
            <w:r w:rsidRPr="00997671">
              <w:rPr>
                <w:sz w:val="16"/>
                <w:szCs w:val="16"/>
              </w:rPr>
              <w:t>De acordo com o art. 69 da NLLC 14.133/2021, “A habilitação econômico-financeira visa a demonstrar a aptidão econômica do licitante para cumprir as obrigações decorrentes do futuro contrato”, portanto, solicitamos a apresentação do documento presente em seu inciso II, “certidão negativa de feitos sobre falência expedida pelo distribuidor da sede do licitante”.</w:t>
            </w:r>
          </w:p>
        </w:tc>
      </w:tr>
    </w:tbl>
    <w:p w14:paraId="4E0BF002" w14:textId="77777777" w:rsidR="00517228" w:rsidRDefault="00F62FCF">
      <w:pPr>
        <w:pStyle w:val="Ttulo1"/>
      </w:pPr>
      <w:r>
        <w:t>Fracionamento IRREGULAR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517228" w14:paraId="08034289" w14:textId="77777777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3B03488E" w14:textId="77777777" w:rsidR="00517228" w:rsidRDefault="00F62FCF">
            <w:pPr>
              <w:ind w:firstLine="0"/>
              <w:rPr>
                <w:sz w:val="16"/>
                <w:szCs w:val="16"/>
              </w:rPr>
            </w:pPr>
            <w:bookmarkStart w:id="1" w:name="_Hlk127431031"/>
            <w:r>
              <w:rPr>
                <w:sz w:val="16"/>
                <w:szCs w:val="16"/>
              </w:rPr>
              <w:t>(</w:t>
            </w:r>
            <w:r w:rsidRPr="00E759B1"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FOI(RAM) ANALISADA(S)</w:t>
            </w:r>
            <w:r>
              <w:rPr>
                <w:sz w:val="16"/>
                <w:szCs w:val="16"/>
              </w:rPr>
              <w:t xml:space="preserve"> à(s) divisibilidade(s) de todo(s) o(s) objeto(s) e, </w:t>
            </w:r>
            <w:r>
              <w:rPr>
                <w:b/>
                <w:caps/>
                <w:sz w:val="16"/>
                <w:szCs w:val="16"/>
              </w:rPr>
              <w:t xml:space="preserve">investigando </w:t>
            </w:r>
            <w:r>
              <w:rPr>
                <w:sz w:val="16"/>
                <w:szCs w:val="16"/>
              </w:rPr>
              <w:t>todas as</w:t>
            </w:r>
            <w:r>
              <w:rPr>
                <w:b/>
                <w:caps/>
                <w:sz w:val="16"/>
                <w:szCs w:val="16"/>
              </w:rPr>
              <w:t xml:space="preserve"> transações realizadas </w:t>
            </w:r>
            <w:r>
              <w:rPr>
                <w:sz w:val="16"/>
                <w:szCs w:val="16"/>
              </w:rPr>
              <w:t>pelo Município</w:t>
            </w:r>
            <w:r>
              <w:rPr>
                <w:b/>
                <w:caps/>
                <w:sz w:val="16"/>
                <w:szCs w:val="16"/>
              </w:rPr>
              <w:t xml:space="preserve"> e </w:t>
            </w:r>
            <w:r>
              <w:rPr>
                <w:sz w:val="16"/>
                <w:szCs w:val="16"/>
              </w:rPr>
              <w:t>também</w:t>
            </w:r>
            <w:r>
              <w:rPr>
                <w:b/>
                <w:cap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o</w:t>
            </w:r>
            <w:r>
              <w:rPr>
                <w:b/>
                <w:caps/>
                <w:sz w:val="16"/>
                <w:szCs w:val="16"/>
              </w:rPr>
              <w:t xml:space="preserve"> somatório dAS despesas realizadas no exercício financeiro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b/>
                <w:bCs/>
                <w:sz w:val="16"/>
                <w:szCs w:val="16"/>
              </w:rPr>
              <w:t xml:space="preserve">ATESTAMOS QUE NÃO HÁ </w:t>
            </w:r>
            <w:r>
              <w:rPr>
                <w:b/>
                <w:caps/>
                <w:sz w:val="16"/>
                <w:szCs w:val="16"/>
              </w:rPr>
              <w:t>contratações com objetos de mesma natureza</w:t>
            </w:r>
            <w:r>
              <w:rPr>
                <w:sz w:val="16"/>
                <w:szCs w:val="16"/>
              </w:rPr>
              <w:t xml:space="preserve"> que caracterizem </w:t>
            </w:r>
            <w:r>
              <w:rPr>
                <w:b/>
                <w:bCs/>
                <w:sz w:val="16"/>
                <w:szCs w:val="16"/>
              </w:rPr>
              <w:t>FRACIONAMENTO IRREGULAR DE DESPESAS</w:t>
            </w:r>
            <w:r>
              <w:rPr>
                <w:b/>
                <w:bCs/>
                <w:caps/>
                <w:sz w:val="16"/>
                <w:szCs w:val="16"/>
              </w:rPr>
              <w:t xml:space="preserve">, </w:t>
            </w:r>
            <w:r>
              <w:rPr>
                <w:bCs/>
                <w:sz w:val="16"/>
                <w:szCs w:val="16"/>
              </w:rPr>
              <w:t>tampouco</w:t>
            </w:r>
            <w:r>
              <w:rPr>
                <w:b/>
                <w:bCs/>
                <w:caps/>
                <w:sz w:val="16"/>
                <w:szCs w:val="16"/>
              </w:rPr>
              <w:t xml:space="preserve"> desídia administrativa, Má Gestão, “emergência fabricada”</w:t>
            </w:r>
            <w:r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>
              <w:rPr>
                <w:sz w:val="16"/>
                <w:szCs w:val="16"/>
              </w:rPr>
              <w:t>, nos termos da lei.</w:t>
            </w:r>
          </w:p>
        </w:tc>
      </w:tr>
    </w:tbl>
    <w:bookmarkEnd w:id="1"/>
    <w:p w14:paraId="001C382C" w14:textId="77777777" w:rsidR="00517228" w:rsidRDefault="00F62FCF">
      <w:pPr>
        <w:pStyle w:val="Ttulo1"/>
      </w:pPr>
      <w:r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517228" w14:paraId="37E0C420" w14:textId="77777777">
        <w:tc>
          <w:tcPr>
            <w:tcW w:w="5157" w:type="dxa"/>
            <w:shd w:val="clear" w:color="auto" w:fill="auto"/>
            <w:vAlign w:val="center"/>
          </w:tcPr>
          <w:p w14:paraId="55A39E84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E759B1"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) 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1050015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 ) Reservada, cfe. Inciso III do §1º do Art. 24 da Lei 12.527/2011  </w:t>
            </w:r>
          </w:p>
        </w:tc>
      </w:tr>
      <w:tr w:rsidR="00517228" w14:paraId="32AFA491" w14:textId="77777777">
        <w:tc>
          <w:tcPr>
            <w:tcW w:w="5157" w:type="dxa"/>
            <w:shd w:val="clear" w:color="auto" w:fill="auto"/>
            <w:vAlign w:val="center"/>
          </w:tcPr>
          <w:p w14:paraId="44D0D6B1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1AC92C27" w14:textId="77777777" w:rsidR="00517228" w:rsidRDefault="00F62FCF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Ultrasecreta, cfe. Inciso I do §1º do Art. 24 da Lei 12.527/2011</w:t>
            </w:r>
          </w:p>
        </w:tc>
      </w:tr>
    </w:tbl>
    <w:p w14:paraId="174924B2" w14:textId="77777777" w:rsidR="00517228" w:rsidRDefault="00517228"/>
    <w:p w14:paraId="77A3B816" w14:textId="2FE0E069" w:rsidR="00517228" w:rsidRPr="00997671" w:rsidRDefault="00F62FCF">
      <w:pPr>
        <w:jc w:val="right"/>
        <w:rPr>
          <w:sz w:val="16"/>
          <w:szCs w:val="16"/>
        </w:rPr>
      </w:pPr>
      <w:r w:rsidRPr="00997671">
        <w:rPr>
          <w:sz w:val="16"/>
          <w:szCs w:val="16"/>
        </w:rPr>
        <w:t xml:space="preserve">Imigrante, </w:t>
      </w:r>
      <w:r w:rsidR="007B2CC8">
        <w:rPr>
          <w:sz w:val="16"/>
          <w:szCs w:val="16"/>
        </w:rPr>
        <w:t>18</w:t>
      </w:r>
      <w:r w:rsidRPr="00997671">
        <w:rPr>
          <w:sz w:val="16"/>
          <w:szCs w:val="16"/>
        </w:rPr>
        <w:t xml:space="preserve"> de </w:t>
      </w:r>
      <w:r w:rsidR="007B2CC8">
        <w:rPr>
          <w:sz w:val="16"/>
          <w:szCs w:val="16"/>
        </w:rPr>
        <w:t>març</w:t>
      </w:r>
      <w:r w:rsidRPr="00997671">
        <w:rPr>
          <w:sz w:val="16"/>
          <w:szCs w:val="16"/>
        </w:rPr>
        <w:t>o de 202</w:t>
      </w:r>
      <w:r w:rsidR="007B2CC8">
        <w:rPr>
          <w:sz w:val="16"/>
          <w:szCs w:val="16"/>
        </w:rPr>
        <w:t>5</w:t>
      </w:r>
      <w:r w:rsidRPr="00997671">
        <w:rPr>
          <w:sz w:val="16"/>
          <w:szCs w:val="16"/>
        </w:rPr>
        <w:t>.</w:t>
      </w:r>
    </w:p>
    <w:p w14:paraId="5EDA2BFC" w14:textId="77777777" w:rsidR="00517228" w:rsidRPr="00997671" w:rsidRDefault="00517228">
      <w:pPr>
        <w:jc w:val="right"/>
        <w:rPr>
          <w:sz w:val="16"/>
          <w:szCs w:val="16"/>
        </w:rPr>
      </w:pPr>
    </w:p>
    <w:p w14:paraId="0F33FFB5" w14:textId="77777777" w:rsidR="00E759B1" w:rsidRPr="00997671" w:rsidRDefault="00E759B1" w:rsidP="002A6360">
      <w:pPr>
        <w:ind w:firstLine="0"/>
        <w:rPr>
          <w:sz w:val="16"/>
          <w:szCs w:val="16"/>
        </w:rPr>
      </w:pPr>
    </w:p>
    <w:p w14:paraId="58E587D6" w14:textId="77777777" w:rsidR="00E759B1" w:rsidRPr="00997671" w:rsidRDefault="00E759B1">
      <w:pPr>
        <w:jc w:val="right"/>
        <w:rPr>
          <w:sz w:val="16"/>
          <w:szCs w:val="16"/>
        </w:rPr>
      </w:pPr>
    </w:p>
    <w:p w14:paraId="789908B6" w14:textId="77777777" w:rsidR="00E759B1" w:rsidRPr="00997671" w:rsidRDefault="00E759B1">
      <w:pPr>
        <w:jc w:val="right"/>
        <w:rPr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517228" w:rsidRPr="00997671" w14:paraId="14B54268" w14:textId="77777777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21F02482" w14:textId="77777777" w:rsidR="00517228" w:rsidRPr="00997671" w:rsidRDefault="00517228">
            <w:pPr>
              <w:tabs>
                <w:tab w:val="left" w:pos="1935"/>
              </w:tabs>
              <w:ind w:left="-142" w:firstLine="0"/>
              <w:rPr>
                <w:sz w:val="16"/>
                <w:szCs w:val="16"/>
              </w:rPr>
            </w:pPr>
          </w:p>
        </w:tc>
      </w:tr>
      <w:tr w:rsidR="00517228" w:rsidRPr="00997671" w14:paraId="799728A3" w14:textId="77777777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C14595" w14:textId="77777777" w:rsidR="00517228" w:rsidRPr="00997671" w:rsidRDefault="00F62FCF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97671">
              <w:rPr>
                <w:b/>
                <w:bCs/>
                <w:sz w:val="16"/>
                <w:szCs w:val="16"/>
              </w:rPr>
              <w:t>Jóice Cristina Horst</w:t>
            </w:r>
          </w:p>
        </w:tc>
      </w:tr>
      <w:tr w:rsidR="00517228" w:rsidRPr="00997671" w14:paraId="6C22D22C" w14:textId="77777777">
        <w:tc>
          <w:tcPr>
            <w:tcW w:w="6204" w:type="dxa"/>
            <w:shd w:val="clear" w:color="auto" w:fill="auto"/>
            <w:vAlign w:val="center"/>
          </w:tcPr>
          <w:p w14:paraId="004095FF" w14:textId="77777777" w:rsidR="00517228" w:rsidRDefault="00F62FCF">
            <w:pPr>
              <w:tabs>
                <w:tab w:val="left" w:pos="1935"/>
              </w:tabs>
              <w:ind w:firstLine="0"/>
              <w:jc w:val="center"/>
              <w:rPr>
                <w:sz w:val="16"/>
                <w:szCs w:val="16"/>
              </w:rPr>
            </w:pPr>
            <w:r w:rsidRPr="00997671">
              <w:rPr>
                <w:sz w:val="16"/>
                <w:szCs w:val="16"/>
              </w:rPr>
              <w:t>Secretária Municipal da Saúde e Assistência Social</w:t>
            </w:r>
          </w:p>
          <w:p w14:paraId="36FEE84E" w14:textId="761628BE" w:rsidR="002A6360" w:rsidRPr="00997671" w:rsidRDefault="002A6360">
            <w:pPr>
              <w:tabs>
                <w:tab w:val="left" w:pos="1935"/>
              </w:tabs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SMSAS</w:t>
            </w:r>
          </w:p>
        </w:tc>
      </w:tr>
    </w:tbl>
    <w:p w14:paraId="0EE5DA06" w14:textId="77777777" w:rsidR="00517228" w:rsidRPr="00997671" w:rsidRDefault="00517228">
      <w:pPr>
        <w:spacing w:after="160" w:line="259" w:lineRule="auto"/>
        <w:ind w:firstLine="0"/>
        <w:rPr>
          <w:rFonts w:eastAsiaTheme="majorEastAsia" w:cstheme="majorBidi"/>
          <w:b/>
          <w:caps/>
          <w:sz w:val="16"/>
          <w:szCs w:val="16"/>
        </w:rPr>
      </w:pPr>
    </w:p>
    <w:sectPr w:rsidR="00517228" w:rsidRPr="0099767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3AD40" w14:textId="77777777" w:rsidR="00517228" w:rsidRDefault="00F62FCF">
      <w:r>
        <w:separator/>
      </w:r>
    </w:p>
  </w:endnote>
  <w:endnote w:type="continuationSeparator" w:id="0">
    <w:p w14:paraId="4F61BB3C" w14:textId="77777777" w:rsidR="00517228" w:rsidRDefault="00F62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</w:sdtPr>
    <w:sdtEndPr/>
    <w:sdtContent>
      <w:sdt>
        <w:sdtPr>
          <w:rPr>
            <w:sz w:val="14"/>
            <w:szCs w:val="14"/>
          </w:rPr>
          <w:id w:val="-1769616900"/>
        </w:sdtPr>
        <w:sdtEndPr/>
        <w:sdtContent>
          <w:p w14:paraId="70D2B5A4" w14:textId="77777777" w:rsidR="00517228" w:rsidRDefault="00F62FCF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5E8F4498" w14:textId="77777777" w:rsidR="00517228" w:rsidRDefault="00517228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</w:sdtPr>
    <w:sdtEndPr/>
    <w:sdtContent>
      <w:p w14:paraId="50A09873" w14:textId="77777777" w:rsidR="00517228" w:rsidRDefault="00F62FCF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C0556FC" w14:textId="77777777" w:rsidR="00517228" w:rsidRDefault="0051722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9CB5C" w14:textId="77777777" w:rsidR="00517228" w:rsidRDefault="00F62FCF">
      <w:pPr>
        <w:spacing w:after="0"/>
      </w:pPr>
      <w:r>
        <w:separator/>
      </w:r>
    </w:p>
  </w:footnote>
  <w:footnote w:type="continuationSeparator" w:id="0">
    <w:p w14:paraId="5BFED437" w14:textId="77777777" w:rsidR="00517228" w:rsidRDefault="00F62F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444CC" w14:textId="77777777" w:rsidR="00517228" w:rsidRDefault="00517228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517228" w14:paraId="32B28E0C" w14:textId="77777777">
      <w:trPr>
        <w:trHeight w:val="930"/>
      </w:trPr>
      <w:tc>
        <w:tcPr>
          <w:tcW w:w="1838" w:type="dxa"/>
          <w:vAlign w:val="center"/>
        </w:tcPr>
        <w:p w14:paraId="5D1013F5" w14:textId="77777777" w:rsidR="00517228" w:rsidRDefault="00F62FCF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685909" wp14:editId="522C67D0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4CDA93A4" w14:textId="77777777" w:rsidR="00517228" w:rsidRDefault="00F62FCF">
          <w:pPr>
            <w:pStyle w:val="Cabealho"/>
            <w:ind w:firstLine="0"/>
          </w:pPr>
          <w:r>
            <w:t>ESTADO DO RIO GRANDE DO SUL</w:t>
          </w:r>
        </w:p>
        <w:p w14:paraId="785EDB28" w14:textId="77777777" w:rsidR="00517228" w:rsidRDefault="00F62FCF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6A0A92E7" w14:textId="77777777" w:rsidR="00517228" w:rsidRDefault="00517228">
          <w:pPr>
            <w:pStyle w:val="Cabealho"/>
            <w:ind w:firstLine="0"/>
            <w:jc w:val="center"/>
          </w:pPr>
        </w:p>
      </w:tc>
    </w:tr>
  </w:tbl>
  <w:p w14:paraId="07002BF1" w14:textId="77777777" w:rsidR="00517228" w:rsidRDefault="00517228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74D66" w14:textId="77777777" w:rsidR="00517228" w:rsidRDefault="00517228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517228" w14:paraId="68B6B294" w14:textId="77777777">
      <w:trPr>
        <w:trHeight w:val="930"/>
      </w:trPr>
      <w:tc>
        <w:tcPr>
          <w:tcW w:w="1838" w:type="dxa"/>
          <w:vAlign w:val="center"/>
        </w:tcPr>
        <w:p w14:paraId="0FF0E19A" w14:textId="77777777" w:rsidR="00517228" w:rsidRDefault="00F62FCF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0C978396" wp14:editId="2B9FCFFC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270B967B" w14:textId="77777777" w:rsidR="00517228" w:rsidRDefault="00F62FCF">
          <w:pPr>
            <w:pStyle w:val="Cabealho"/>
            <w:ind w:firstLine="0"/>
          </w:pPr>
          <w:r>
            <w:t>ESTADO DO RIO GRANDE DO SUL</w:t>
          </w:r>
        </w:p>
        <w:p w14:paraId="0298B5BE" w14:textId="77777777" w:rsidR="00517228" w:rsidRDefault="00F62FCF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3780F152" w14:textId="77777777" w:rsidR="00517228" w:rsidRDefault="00517228">
          <w:pPr>
            <w:pStyle w:val="Cabealho"/>
            <w:ind w:firstLine="0"/>
            <w:jc w:val="center"/>
          </w:pPr>
        </w:p>
      </w:tc>
    </w:tr>
  </w:tbl>
  <w:p w14:paraId="43EDB5CD" w14:textId="77777777" w:rsidR="00517228" w:rsidRDefault="0051722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none"/>
      <w:pStyle w:val="EmentaLicitao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AB553C4"/>
    <w:multiLevelType w:val="hybridMultilevel"/>
    <w:tmpl w:val="267851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2253766">
    <w:abstractNumId w:val="1"/>
  </w:num>
  <w:num w:numId="2" w16cid:durableId="1357198894">
    <w:abstractNumId w:val="0"/>
  </w:num>
  <w:num w:numId="3" w16cid:durableId="3590867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FCC"/>
    <w:rsid w:val="00001EF4"/>
    <w:rsid w:val="000020B2"/>
    <w:rsid w:val="00002791"/>
    <w:rsid w:val="00002FF3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3BF"/>
    <w:rsid w:val="000B6481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360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659B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4193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493E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1332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228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0C5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51DA"/>
    <w:rsid w:val="0075526F"/>
    <w:rsid w:val="00755400"/>
    <w:rsid w:val="00755CD8"/>
    <w:rsid w:val="007605DB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2CC8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1996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97671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584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4651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11534"/>
    <w:rsid w:val="00C11AC0"/>
    <w:rsid w:val="00C12107"/>
    <w:rsid w:val="00C12AC7"/>
    <w:rsid w:val="00C13E12"/>
    <w:rsid w:val="00C173BF"/>
    <w:rsid w:val="00C1778F"/>
    <w:rsid w:val="00C22C49"/>
    <w:rsid w:val="00C22CDC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51ED"/>
    <w:rsid w:val="00C87E2C"/>
    <w:rsid w:val="00C907A4"/>
    <w:rsid w:val="00C90A36"/>
    <w:rsid w:val="00C916EA"/>
    <w:rsid w:val="00C9531D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29ED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59B1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2FCF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40FA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0EF236C7"/>
    <w:rsid w:val="126C56F7"/>
    <w:rsid w:val="42E0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81986"/>
  <w15:docId w15:val="{47C892CA-6410-431A-9BA4-DF0256BC1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qFormat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qFormat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Pr>
      <w:szCs w:val="20"/>
    </w:r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autoRedefine/>
    <w:uiPriority w:val="39"/>
    <w:unhideWhenUsed/>
    <w:qFormat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qFormat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autoRedefine/>
    <w:uiPriority w:val="39"/>
    <w:unhideWhenUsed/>
    <w:qFormat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qFormat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qFormat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qFormat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Pr>
      <w:sz w:val="20"/>
      <w:szCs w:val="20"/>
    </w:rPr>
  </w:style>
  <w:style w:type="paragraph" w:styleId="Citao">
    <w:name w:val="Quote"/>
    <w:basedOn w:val="Normal"/>
    <w:next w:val="Normal"/>
    <w:link w:val="CitaoChar"/>
    <w:autoRedefine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qFormat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qFormat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qFormat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qFormat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qFormat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qFormat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qFormat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qFormat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qFormat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pPr>
      <w:numPr>
        <w:numId w:val="2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customStyle="1" w:styleId="Reviso1">
    <w:name w:val="Revisão1"/>
    <w:hidden/>
    <w:uiPriority w:val="99"/>
    <w:semiHidden/>
    <w:qFormat/>
    <w:rPr>
      <w:rFonts w:ascii="Tahoma" w:hAnsi="Tahoma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1320F-BE9D-408C-96BA-C9E906F2A6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2011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Rodrigo Ritter</cp:lastModifiedBy>
  <cp:revision>5</cp:revision>
  <cp:lastPrinted>2024-11-21T17:40:00Z</cp:lastPrinted>
  <dcterms:created xsi:type="dcterms:W3CDTF">2025-03-17T14:05:00Z</dcterms:created>
  <dcterms:modified xsi:type="dcterms:W3CDTF">2025-03-20T19:30:00Z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1046-12.2.0.18607</vt:lpwstr>
  </property>
  <property fmtid="{D5CDD505-2E9C-101B-9397-08002B2CF9AE}" pid="3" name="ICV">
    <vt:lpwstr>4884CF56DE36483091934163A8043F61_13</vt:lpwstr>
  </property>
</Properties>
</file>