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281B3" w14:textId="77777777" w:rsidR="003573AE" w:rsidRPr="003573AE" w:rsidRDefault="003573AE" w:rsidP="003573AE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JUSTIFICATIVA DO PREÇO E RAZÃO DA ESCOLHA DO FORNECEDOR</w:t>
      </w:r>
      <w:r w:rsidRPr="003573AE">
        <w:rPr>
          <w:rFonts w:ascii="Tahoma" w:eastAsia="Times New Roman" w:hAnsi="Tahoma" w:cs="Tahoma"/>
          <w:lang w:eastAsia="pt-BR"/>
        </w:rPr>
        <w:br/>
      </w:r>
      <w:r w:rsidRPr="003573AE">
        <w:rPr>
          <w:rFonts w:ascii="Tahoma" w:eastAsia="Times New Roman" w:hAnsi="Tahoma" w:cs="Tahoma"/>
          <w:b/>
          <w:bCs/>
          <w:lang w:eastAsia="pt-BR"/>
        </w:rPr>
        <w:t>Data:</w:t>
      </w:r>
      <w:r w:rsidRPr="003573AE">
        <w:rPr>
          <w:rFonts w:ascii="Tahoma" w:eastAsia="Times New Roman" w:hAnsi="Tahoma" w:cs="Tahoma"/>
          <w:lang w:eastAsia="pt-BR"/>
        </w:rPr>
        <w:t xml:space="preserve"> 03 de junho de 2025</w:t>
      </w:r>
    </w:p>
    <w:p w14:paraId="32668E83" w14:textId="77777777" w:rsidR="003573AE" w:rsidRPr="003573AE" w:rsidRDefault="003573AE" w:rsidP="003573AE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pict w14:anchorId="2EDA50D7">
          <v:rect id="_x0000_i1026" style="width:0;height:1.5pt" o:hralign="center" o:hrstd="t" o:hr="t" fillcolor="#a0a0a0" stroked="f"/>
        </w:pict>
      </w:r>
    </w:p>
    <w:p w14:paraId="2376134E" w14:textId="77777777" w:rsidR="003573AE" w:rsidRPr="003573AE" w:rsidRDefault="003573AE" w:rsidP="003573AE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1. Objeto da Contratação</w:t>
      </w:r>
    </w:p>
    <w:p w14:paraId="03CF5767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Contratação de empresa especializada no fornecimento de </w:t>
      </w:r>
      <w:r w:rsidRPr="003573AE">
        <w:rPr>
          <w:rFonts w:ascii="Tahoma" w:eastAsia="Times New Roman" w:hAnsi="Tahoma" w:cs="Tahoma"/>
          <w:b/>
          <w:bCs/>
          <w:lang w:eastAsia="pt-BR"/>
        </w:rPr>
        <w:t>assinatura de ferramenta digital para pesquisa e comparação de preços praticados pela Administração Pública</w:t>
      </w:r>
      <w:r w:rsidRPr="003573AE">
        <w:rPr>
          <w:rFonts w:ascii="Tahoma" w:eastAsia="Times New Roman" w:hAnsi="Tahoma" w:cs="Tahoma"/>
          <w:lang w:eastAsia="pt-BR"/>
        </w:rPr>
        <w:t>, com acesso remoto por 12 (doze) meses.</w:t>
      </w:r>
    </w:p>
    <w:p w14:paraId="4458C982" w14:textId="77777777" w:rsidR="003573AE" w:rsidRPr="003573AE" w:rsidRDefault="003573AE" w:rsidP="003573AE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pict w14:anchorId="085C1848">
          <v:rect id="_x0000_i1027" style="width:0;height:1.5pt" o:hralign="center" o:hrstd="t" o:hr="t" fillcolor="#a0a0a0" stroked="f"/>
        </w:pict>
      </w:r>
    </w:p>
    <w:p w14:paraId="1D3757D2" w14:textId="77777777" w:rsidR="003573AE" w:rsidRPr="003573AE" w:rsidRDefault="003573AE" w:rsidP="003573AE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2. Justificativa do Preço</w:t>
      </w:r>
    </w:p>
    <w:p w14:paraId="6F30D3BA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Nos termos do art. 23 da Lei nº 14.133/2021, a Administração deve realizar estimativa de preços previamente à contratação, ainda que se trate de contratação direta por inexigibilidade.</w:t>
      </w:r>
    </w:p>
    <w:p w14:paraId="3F376881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Foi verificado que o fornecedor detém </w:t>
      </w:r>
      <w:r w:rsidRPr="003573AE">
        <w:rPr>
          <w:rFonts w:ascii="Tahoma" w:eastAsia="Times New Roman" w:hAnsi="Tahoma" w:cs="Tahoma"/>
          <w:b/>
          <w:bCs/>
          <w:lang w:eastAsia="pt-BR"/>
        </w:rPr>
        <w:t>exclusividade na prestação do serviço</w:t>
      </w:r>
      <w:r w:rsidRPr="003573AE">
        <w:rPr>
          <w:rFonts w:ascii="Tahoma" w:eastAsia="Times New Roman" w:hAnsi="Tahoma" w:cs="Tahoma"/>
          <w:lang w:eastAsia="pt-BR"/>
        </w:rPr>
        <w:t>, sendo o único com base de dados estruturada e ferramenta própria com abrangência nacional, integrando contratações públicas das esferas federal, estadual e municipal, com atualização constante.</w:t>
      </w:r>
    </w:p>
    <w:p w14:paraId="4BB0DFEC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O valor ofertado para a assinatura de 1 (uma) licença anual é de </w:t>
      </w:r>
      <w:r w:rsidRPr="003573AE">
        <w:rPr>
          <w:rFonts w:ascii="Tahoma" w:eastAsia="Times New Roman" w:hAnsi="Tahoma" w:cs="Tahoma"/>
          <w:b/>
          <w:bCs/>
          <w:lang w:eastAsia="pt-BR"/>
        </w:rPr>
        <w:t>R$ 12.300,00 (doze mil e trezentos reais)</w:t>
      </w:r>
      <w:r w:rsidRPr="003573AE">
        <w:rPr>
          <w:rFonts w:ascii="Tahoma" w:eastAsia="Times New Roman" w:hAnsi="Tahoma" w:cs="Tahoma"/>
          <w:lang w:eastAsia="pt-BR"/>
        </w:rPr>
        <w:t xml:space="preserve">, com o fornecimento de uma segunda licença </w:t>
      </w:r>
      <w:r w:rsidRPr="003573AE">
        <w:rPr>
          <w:rFonts w:ascii="Tahoma" w:eastAsia="Times New Roman" w:hAnsi="Tahoma" w:cs="Tahoma"/>
          <w:b/>
          <w:bCs/>
          <w:lang w:eastAsia="pt-BR"/>
        </w:rPr>
        <w:t>a título de cortesia</w:t>
      </w:r>
      <w:r w:rsidRPr="003573AE">
        <w:rPr>
          <w:rFonts w:ascii="Tahoma" w:eastAsia="Times New Roman" w:hAnsi="Tahoma" w:cs="Tahoma"/>
          <w:lang w:eastAsia="pt-BR"/>
        </w:rPr>
        <w:t xml:space="preserve">, totalizando </w:t>
      </w:r>
      <w:r w:rsidRPr="003573AE">
        <w:rPr>
          <w:rFonts w:ascii="Tahoma" w:eastAsia="Times New Roman" w:hAnsi="Tahoma" w:cs="Tahoma"/>
          <w:b/>
          <w:bCs/>
          <w:lang w:eastAsia="pt-BR"/>
        </w:rPr>
        <w:t>2 (duas) licenças de acesso</w:t>
      </w:r>
      <w:r w:rsidRPr="003573AE">
        <w:rPr>
          <w:rFonts w:ascii="Tahoma" w:eastAsia="Times New Roman" w:hAnsi="Tahoma" w:cs="Tahoma"/>
          <w:lang w:eastAsia="pt-BR"/>
        </w:rPr>
        <w:t xml:space="preserve"> ao sistema, pelo valor total de </w:t>
      </w:r>
      <w:r w:rsidRPr="003573AE">
        <w:rPr>
          <w:rFonts w:ascii="Tahoma" w:eastAsia="Times New Roman" w:hAnsi="Tahoma" w:cs="Tahoma"/>
          <w:b/>
          <w:bCs/>
          <w:lang w:eastAsia="pt-BR"/>
        </w:rPr>
        <w:t>R$ 12.300,00</w:t>
      </w:r>
      <w:r w:rsidRPr="003573AE">
        <w:rPr>
          <w:rFonts w:ascii="Tahoma" w:eastAsia="Times New Roman" w:hAnsi="Tahoma" w:cs="Tahoma"/>
          <w:lang w:eastAsia="pt-BR"/>
        </w:rPr>
        <w:t>.</w:t>
      </w:r>
    </w:p>
    <w:p w14:paraId="5B8B5060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O preço praticado está </w:t>
      </w:r>
      <w:r w:rsidRPr="003573AE">
        <w:rPr>
          <w:rFonts w:ascii="Tahoma" w:eastAsia="Times New Roman" w:hAnsi="Tahoma" w:cs="Tahoma"/>
          <w:b/>
          <w:bCs/>
          <w:lang w:eastAsia="pt-BR"/>
        </w:rPr>
        <w:t>condizente com valores aplicados em contratações similares por outros entes públicos</w:t>
      </w:r>
      <w:r w:rsidRPr="003573AE">
        <w:rPr>
          <w:rFonts w:ascii="Tahoma" w:eastAsia="Times New Roman" w:hAnsi="Tahoma" w:cs="Tahoma"/>
          <w:lang w:eastAsia="pt-BR"/>
        </w:rPr>
        <w:t xml:space="preserve"> e representa economicidade para a Administração Municipal, especialmente diante da bonificação da segunda licença.</w:t>
      </w:r>
    </w:p>
    <w:p w14:paraId="0A976572" w14:textId="77777777" w:rsidR="003573AE" w:rsidRPr="003573AE" w:rsidRDefault="003573AE" w:rsidP="003573AE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pict w14:anchorId="501C4345">
          <v:rect id="_x0000_i1028" style="width:0;height:1.5pt" o:hralign="center" o:hrstd="t" o:hr="t" fillcolor="#a0a0a0" stroked="f"/>
        </w:pict>
      </w:r>
    </w:p>
    <w:p w14:paraId="6D1B6F79" w14:textId="77777777" w:rsidR="003573AE" w:rsidRPr="003573AE" w:rsidRDefault="003573AE" w:rsidP="003573AE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3. Razão da Escolha do Fornecedor</w:t>
      </w:r>
    </w:p>
    <w:p w14:paraId="5090637A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A escolha do fornecedor está fundamentada na </w:t>
      </w:r>
      <w:r w:rsidRPr="003573AE">
        <w:rPr>
          <w:rFonts w:ascii="Tahoma" w:eastAsia="Times New Roman" w:hAnsi="Tahoma" w:cs="Tahoma"/>
          <w:b/>
          <w:bCs/>
          <w:lang w:eastAsia="pt-BR"/>
        </w:rPr>
        <w:t>inexigibilidade de licitação</w:t>
      </w:r>
      <w:r w:rsidRPr="003573AE">
        <w:rPr>
          <w:rFonts w:ascii="Tahoma" w:eastAsia="Times New Roman" w:hAnsi="Tahoma" w:cs="Tahoma"/>
          <w:lang w:eastAsia="pt-BR"/>
        </w:rPr>
        <w:t xml:space="preserve">, conforme previsto no </w:t>
      </w:r>
      <w:r w:rsidRPr="003573AE">
        <w:rPr>
          <w:rFonts w:ascii="Tahoma" w:eastAsia="Times New Roman" w:hAnsi="Tahoma" w:cs="Tahoma"/>
          <w:b/>
          <w:bCs/>
          <w:lang w:eastAsia="pt-BR"/>
        </w:rPr>
        <w:t>art. 74, inciso I, da Lei nº 14.133/2021</w:t>
      </w:r>
      <w:r w:rsidRPr="003573AE">
        <w:rPr>
          <w:rFonts w:ascii="Tahoma" w:eastAsia="Times New Roman" w:hAnsi="Tahoma" w:cs="Tahoma"/>
          <w:lang w:eastAsia="pt-BR"/>
        </w:rPr>
        <w:t>, pela inviabilidade de competição decorrente da exclusividade na prestação do serviço.</w:t>
      </w:r>
    </w:p>
    <w:p w14:paraId="4E451629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A empresa contratada detém os </w:t>
      </w:r>
      <w:r w:rsidRPr="003573AE">
        <w:rPr>
          <w:rFonts w:ascii="Tahoma" w:eastAsia="Times New Roman" w:hAnsi="Tahoma" w:cs="Tahoma"/>
          <w:b/>
          <w:bCs/>
          <w:lang w:eastAsia="pt-BR"/>
        </w:rPr>
        <w:t>direitos exclusivos de comercialização e operação da ferramenta digital</w:t>
      </w:r>
      <w:r w:rsidRPr="003573AE">
        <w:rPr>
          <w:rFonts w:ascii="Tahoma" w:eastAsia="Times New Roman" w:hAnsi="Tahoma" w:cs="Tahoma"/>
          <w:lang w:eastAsia="pt-BR"/>
        </w:rPr>
        <w:t xml:space="preserve"> objeto da contratação, conforme comprovado por </w:t>
      </w:r>
      <w:r w:rsidRPr="003573AE">
        <w:rPr>
          <w:rFonts w:ascii="Tahoma" w:eastAsia="Times New Roman" w:hAnsi="Tahoma" w:cs="Tahoma"/>
          <w:b/>
          <w:bCs/>
          <w:lang w:eastAsia="pt-BR"/>
        </w:rPr>
        <w:t>declaração de exclusividade</w:t>
      </w:r>
      <w:r w:rsidRPr="003573AE">
        <w:rPr>
          <w:rFonts w:ascii="Tahoma" w:eastAsia="Times New Roman" w:hAnsi="Tahoma" w:cs="Tahoma"/>
          <w:lang w:eastAsia="pt-BR"/>
        </w:rPr>
        <w:t xml:space="preserve"> emitida por entidade representativa do setor ou pelo próprio fornecedor, em conformidade com o §1º do art. 74 da referida lei.</w:t>
      </w:r>
    </w:p>
    <w:p w14:paraId="4B7010BD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Além disso, a ferramenta atende integralmente às necessidades da Administração Municipal, com:</w:t>
      </w:r>
    </w:p>
    <w:p w14:paraId="253F0771" w14:textId="77777777" w:rsidR="003573AE" w:rsidRPr="003573AE" w:rsidRDefault="003573AE" w:rsidP="003573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lastRenderedPageBreak/>
        <w:t>Acesso a banco de dados amplamente utilizado por órgãos públicos;</w:t>
      </w:r>
    </w:p>
    <w:p w14:paraId="7E0D3949" w14:textId="77777777" w:rsidR="003573AE" w:rsidRPr="003573AE" w:rsidRDefault="003573AE" w:rsidP="003573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Relatórios comparativos com histórico de preços por fornecedor, modalidade e órgão;</w:t>
      </w:r>
    </w:p>
    <w:p w14:paraId="5C5BB169" w14:textId="77777777" w:rsidR="003573AE" w:rsidRPr="003573AE" w:rsidRDefault="003573AE" w:rsidP="003573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Interface funcional e intuitiva;</w:t>
      </w:r>
    </w:p>
    <w:p w14:paraId="44B1E7C7" w14:textId="77777777" w:rsidR="003573AE" w:rsidRPr="003573AE" w:rsidRDefault="003573AE" w:rsidP="003573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Suporte técnico incluso;</w:t>
      </w:r>
    </w:p>
    <w:p w14:paraId="7815A6F0" w14:textId="77777777" w:rsidR="003573AE" w:rsidRPr="003573AE" w:rsidRDefault="003573AE" w:rsidP="003573A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>Histórico de fornecimento a diversos entes públicos, demonstrando a capacidade técnica.</w:t>
      </w:r>
    </w:p>
    <w:p w14:paraId="71B249BC" w14:textId="77777777" w:rsidR="003573AE" w:rsidRPr="003573AE" w:rsidRDefault="003573AE" w:rsidP="003573AE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pict w14:anchorId="674D81FC">
          <v:rect id="_x0000_i1029" style="width:0;height:1.5pt" o:hralign="center" o:hrstd="t" o:hr="t" fillcolor="#a0a0a0" stroked="f"/>
        </w:pict>
      </w:r>
    </w:p>
    <w:p w14:paraId="5FC39793" w14:textId="77777777" w:rsidR="003573AE" w:rsidRPr="003573AE" w:rsidRDefault="003573AE" w:rsidP="003573AE">
      <w:pPr>
        <w:spacing w:before="100" w:beforeAutospacing="1" w:after="100" w:afterAutospacing="1" w:line="240" w:lineRule="auto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4. Conclusão</w:t>
      </w:r>
    </w:p>
    <w:p w14:paraId="6D9AB9FE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t xml:space="preserve">Diante da </w:t>
      </w:r>
      <w:r w:rsidRPr="003573AE">
        <w:rPr>
          <w:rFonts w:ascii="Tahoma" w:eastAsia="Times New Roman" w:hAnsi="Tahoma" w:cs="Tahoma"/>
          <w:b/>
          <w:bCs/>
          <w:lang w:eastAsia="pt-BR"/>
        </w:rPr>
        <w:t>exclusividade comprovada</w:t>
      </w:r>
      <w:r w:rsidRPr="003573AE">
        <w:rPr>
          <w:rFonts w:ascii="Tahoma" w:eastAsia="Times New Roman" w:hAnsi="Tahoma" w:cs="Tahoma"/>
          <w:lang w:eastAsia="pt-BR"/>
        </w:rPr>
        <w:t xml:space="preserve">, da </w:t>
      </w:r>
      <w:r w:rsidRPr="003573AE">
        <w:rPr>
          <w:rFonts w:ascii="Tahoma" w:eastAsia="Times New Roman" w:hAnsi="Tahoma" w:cs="Tahoma"/>
          <w:b/>
          <w:bCs/>
          <w:lang w:eastAsia="pt-BR"/>
        </w:rPr>
        <w:t>aderência técnica da solução ofertada</w:t>
      </w:r>
      <w:r w:rsidRPr="003573AE">
        <w:rPr>
          <w:rFonts w:ascii="Tahoma" w:eastAsia="Times New Roman" w:hAnsi="Tahoma" w:cs="Tahoma"/>
          <w:lang w:eastAsia="pt-BR"/>
        </w:rPr>
        <w:t xml:space="preserve">, da </w:t>
      </w:r>
      <w:r w:rsidRPr="003573AE">
        <w:rPr>
          <w:rFonts w:ascii="Tahoma" w:eastAsia="Times New Roman" w:hAnsi="Tahoma" w:cs="Tahoma"/>
          <w:b/>
          <w:bCs/>
          <w:lang w:eastAsia="pt-BR"/>
        </w:rPr>
        <w:t>vantajosa relação custo-benefício</w:t>
      </w:r>
      <w:r w:rsidRPr="003573AE">
        <w:rPr>
          <w:rFonts w:ascii="Tahoma" w:eastAsia="Times New Roman" w:hAnsi="Tahoma" w:cs="Tahoma"/>
          <w:lang w:eastAsia="pt-BR"/>
        </w:rPr>
        <w:t xml:space="preserve"> e da </w:t>
      </w:r>
      <w:r w:rsidRPr="003573AE">
        <w:rPr>
          <w:rFonts w:ascii="Tahoma" w:eastAsia="Times New Roman" w:hAnsi="Tahoma" w:cs="Tahoma"/>
          <w:b/>
          <w:bCs/>
          <w:lang w:eastAsia="pt-BR"/>
        </w:rPr>
        <w:t>inviabilidade de competição</w:t>
      </w:r>
      <w:r w:rsidRPr="003573AE">
        <w:rPr>
          <w:rFonts w:ascii="Tahoma" w:eastAsia="Times New Roman" w:hAnsi="Tahoma" w:cs="Tahoma"/>
          <w:lang w:eastAsia="pt-BR"/>
        </w:rPr>
        <w:t>, conclui-se pela viabilidade e legalidade da contratação direta por inexigibilidade, conforme fundamentado no art. 74, inciso I, da Lei nº 14.133/2021.</w:t>
      </w:r>
    </w:p>
    <w:p w14:paraId="63DE2C13" w14:textId="77777777" w:rsidR="003573AE" w:rsidRPr="003573AE" w:rsidRDefault="003573AE" w:rsidP="003573AE">
      <w:pPr>
        <w:spacing w:after="0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lang w:eastAsia="pt-BR"/>
        </w:rPr>
        <w:pict w14:anchorId="23808B2C">
          <v:rect id="_x0000_i1030" style="width:0;height:1.5pt" o:hralign="center" o:hrstd="t" o:hr="t" fillcolor="#a0a0a0" stroked="f"/>
        </w:pict>
      </w:r>
    </w:p>
    <w:p w14:paraId="5D4DB6D5" w14:textId="77777777" w:rsidR="003573AE" w:rsidRPr="003573AE" w:rsidRDefault="003573AE" w:rsidP="003573AE">
      <w:pPr>
        <w:spacing w:before="100" w:beforeAutospacing="1" w:after="100" w:afterAutospacing="1" w:line="240" w:lineRule="auto"/>
        <w:rPr>
          <w:rFonts w:ascii="Tahoma" w:eastAsia="Times New Roman" w:hAnsi="Tahoma" w:cs="Tahoma"/>
          <w:lang w:eastAsia="pt-BR"/>
        </w:rPr>
      </w:pPr>
      <w:r w:rsidRPr="003573AE">
        <w:rPr>
          <w:rFonts w:ascii="Tahoma" w:eastAsia="Times New Roman" w:hAnsi="Tahoma" w:cs="Tahoma"/>
          <w:b/>
          <w:bCs/>
          <w:lang w:eastAsia="pt-BR"/>
        </w:rPr>
        <w:t>Edson Adilso Heck</w:t>
      </w:r>
      <w:r w:rsidRPr="003573AE">
        <w:rPr>
          <w:rFonts w:ascii="Tahoma" w:eastAsia="Times New Roman" w:hAnsi="Tahoma" w:cs="Tahoma"/>
          <w:lang w:eastAsia="pt-BR"/>
        </w:rPr>
        <w:br/>
        <w:t>Secretário da Administração, Planejamento e Finanças</w:t>
      </w:r>
      <w:r w:rsidRPr="003573AE">
        <w:rPr>
          <w:rFonts w:ascii="Tahoma" w:eastAsia="Times New Roman" w:hAnsi="Tahoma" w:cs="Tahoma"/>
          <w:lang w:eastAsia="pt-BR"/>
        </w:rPr>
        <w:br/>
        <w:t>Prefeitura Municipal de Imigrante</w:t>
      </w:r>
      <w:r w:rsidRPr="003573AE">
        <w:rPr>
          <w:rFonts w:ascii="Tahoma" w:eastAsia="Times New Roman" w:hAnsi="Tahoma" w:cs="Tahoma"/>
          <w:lang w:eastAsia="pt-BR"/>
        </w:rPr>
        <w:br/>
        <w:t>Assinatura: ___________________________</w:t>
      </w:r>
    </w:p>
    <w:p w14:paraId="337D10A2" w14:textId="77777777" w:rsidR="003964BB" w:rsidRPr="003573AE" w:rsidRDefault="003964BB">
      <w:pPr>
        <w:rPr>
          <w:rFonts w:ascii="Tahoma" w:hAnsi="Tahoma" w:cs="Tahoma"/>
        </w:rPr>
      </w:pPr>
    </w:p>
    <w:sectPr w:rsidR="003964BB" w:rsidRPr="003573AE" w:rsidSect="00F1006D">
      <w:headerReference w:type="default" r:id="rId7"/>
      <w:footerReference w:type="default" r:id="rId8"/>
      <w:pgSz w:w="11906" w:h="16838"/>
      <w:pgMar w:top="311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F04B2" w14:textId="77777777" w:rsidR="00F1006D" w:rsidRDefault="00F1006D" w:rsidP="00F1006D">
      <w:pPr>
        <w:spacing w:after="0" w:line="240" w:lineRule="auto"/>
      </w:pPr>
      <w:r>
        <w:separator/>
      </w:r>
    </w:p>
  </w:endnote>
  <w:endnote w:type="continuationSeparator" w:id="0">
    <w:p w14:paraId="0BC41FDB" w14:textId="77777777" w:rsidR="00F1006D" w:rsidRDefault="00F1006D" w:rsidP="00F1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29A69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bookmarkStart w:id="0" w:name="_Hlk121318415"/>
    <w:bookmarkStart w:id="1" w:name="_Hlk121318416"/>
    <w:r w:rsidRPr="00F1006D">
      <w:rPr>
        <w:rFonts w:ascii="Tahoma" w:hAnsi="Tahoma" w:cs="Tahoma"/>
        <w:bCs/>
        <w:i/>
        <w:iCs/>
        <w:sz w:val="20"/>
        <w:szCs w:val="20"/>
      </w:rPr>
      <w:t>Rua Castelo Branco, 15, Centro – Imigrante/RS - CEP: 95.885-000</w:t>
    </w:r>
  </w:p>
  <w:p w14:paraId="718A87E8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r w:rsidRPr="00F1006D">
      <w:rPr>
        <w:rFonts w:ascii="Tahoma" w:hAnsi="Tahoma" w:cs="Tahoma"/>
        <w:bCs/>
        <w:i/>
        <w:iCs/>
        <w:sz w:val="20"/>
        <w:szCs w:val="20"/>
      </w:rPr>
      <w:t xml:space="preserve">Fone (51) 3754-1100 | </w:t>
    </w:r>
    <w:hyperlink r:id="rId1" w:history="1">
      <w:r w:rsidRPr="00F1006D">
        <w:rPr>
          <w:rStyle w:val="Hyperlink"/>
          <w:rFonts w:ascii="Tahoma" w:hAnsi="Tahoma" w:cs="Tahoma"/>
          <w:bCs/>
          <w:i/>
          <w:iCs/>
          <w:sz w:val="20"/>
          <w:szCs w:val="20"/>
        </w:rPr>
        <w:t>www.imigrante-rs.com.br</w:t>
      </w:r>
    </w:hyperlink>
    <w:r w:rsidRPr="00F1006D">
      <w:rPr>
        <w:rFonts w:ascii="Tahoma" w:hAnsi="Tahoma" w:cs="Tahoma"/>
        <w:bCs/>
        <w:i/>
        <w:iCs/>
        <w:sz w:val="20"/>
        <w:szCs w:val="20"/>
      </w:rPr>
      <w:t xml:space="preserve"> | e-mail: administracao@imigrante-rs.com.br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33F70" w14:textId="77777777" w:rsidR="00F1006D" w:rsidRDefault="00F1006D" w:rsidP="00F1006D">
      <w:pPr>
        <w:spacing w:after="0" w:line="240" w:lineRule="auto"/>
      </w:pPr>
      <w:r>
        <w:separator/>
      </w:r>
    </w:p>
  </w:footnote>
  <w:footnote w:type="continuationSeparator" w:id="0">
    <w:p w14:paraId="518AE470" w14:textId="77777777" w:rsidR="00F1006D" w:rsidRDefault="00F1006D" w:rsidP="00F1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9AA7A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  <w:r>
      <w:rPr>
        <w:rFonts w:cs="Tahoma"/>
        <w:noProof/>
        <w:lang w:eastAsia="pt-BR"/>
      </w:rPr>
      <w:drawing>
        <wp:anchor distT="0" distB="0" distL="114300" distR="114300" simplePos="0" relativeHeight="251658240" behindDoc="1" locked="0" layoutInCell="1" allowOverlap="1" wp14:anchorId="29895331" wp14:editId="144949F5">
          <wp:simplePos x="0" y="0"/>
          <wp:positionH relativeFrom="page">
            <wp:posOffset>3254375</wp:posOffset>
          </wp:positionH>
          <wp:positionV relativeFrom="page">
            <wp:posOffset>228600</wp:posOffset>
          </wp:positionV>
          <wp:extent cx="1058545" cy="1171575"/>
          <wp:effectExtent l="0" t="0" r="8255" b="9525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7DF8D7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0BC026E0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65A01FE3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4AF4305D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14F04504" w14:textId="77777777" w:rsidR="00F1006D" w:rsidRP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noProof/>
        <w:lang w:eastAsia="pt-BR"/>
      </w:rPr>
    </w:pPr>
    <w:r w:rsidRPr="00F1006D">
      <w:rPr>
        <w:rFonts w:ascii="Tahoma" w:hAnsi="Tahoma" w:cs="Tahoma"/>
        <w:noProof/>
        <w:lang w:eastAsia="pt-BR"/>
      </w:rPr>
      <w:t>ESTADO DO RIO GRANDE DO SUL</w:t>
    </w:r>
  </w:p>
  <w:p w14:paraId="60946D23" w14:textId="77777777" w:rsidR="00F1006D" w:rsidRPr="00F1006D" w:rsidRDefault="00F1006D" w:rsidP="00F1006D">
    <w:pPr>
      <w:pStyle w:val="Cabealho"/>
      <w:spacing w:line="276" w:lineRule="auto"/>
      <w:jc w:val="center"/>
      <w:rPr>
        <w:rFonts w:ascii="Tahoma" w:hAnsi="Tahoma" w:cs="Tahoma"/>
        <w:b/>
        <w:noProof/>
        <w:sz w:val="32"/>
        <w:szCs w:val="32"/>
        <w:lang w:eastAsia="pt-BR"/>
      </w:rPr>
    </w:pPr>
    <w:r w:rsidRPr="00F1006D">
      <w:rPr>
        <w:rFonts w:ascii="Tahoma" w:hAnsi="Tahoma" w:cs="Tahoma"/>
        <w:b/>
        <w:noProof/>
        <w:sz w:val="32"/>
        <w:szCs w:val="32"/>
        <w:lang w:eastAsia="pt-BR"/>
      </w:rPr>
      <w:t>MUNICÍPIO DE IMIGRANTE</w:t>
    </w:r>
  </w:p>
  <w:p w14:paraId="392BCAE1" w14:textId="77777777" w:rsidR="00F1006D" w:rsidRDefault="00F100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6F7302"/>
    <w:multiLevelType w:val="multilevel"/>
    <w:tmpl w:val="A3F44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838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6D"/>
    <w:rsid w:val="00157B69"/>
    <w:rsid w:val="003573AE"/>
    <w:rsid w:val="003964BB"/>
    <w:rsid w:val="00564268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4F2712"/>
  <w15:chartTrackingRefBased/>
  <w15:docId w15:val="{4B2AE658-FD60-49F1-A315-D450521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006D"/>
  </w:style>
  <w:style w:type="paragraph" w:styleId="Rodap">
    <w:name w:val="footer"/>
    <w:basedOn w:val="Normal"/>
    <w:link w:val="Rodap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006D"/>
  </w:style>
  <w:style w:type="character" w:styleId="Hyperlink">
    <w:name w:val="Hyperlink"/>
    <w:rsid w:val="00F10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5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5551982471711</cp:lastModifiedBy>
  <cp:revision>2</cp:revision>
  <dcterms:created xsi:type="dcterms:W3CDTF">2025-06-04T18:58:00Z</dcterms:created>
  <dcterms:modified xsi:type="dcterms:W3CDTF">2025-06-04T18:58:00Z</dcterms:modified>
</cp:coreProperties>
</file>